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ОТЧЕТ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О РЕАЛИЗАЦИИ 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ПУБЛИЧН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ОЙ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ДЕКЛАРАЦИ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И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целей и задач Федерального агентства по недропользованию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на 2024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за 6 месяцев</w:t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0" w:lineRule="atLeast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r>
    </w:p>
    <w:p>
      <w:pPr>
        <w:ind w:firstLine="709"/>
        <w:jc w:val="center"/>
        <w:spacing w:after="0" w:line="20" w:lineRule="atLeast"/>
        <w:rPr>
          <w:rFonts w:ascii="PT Astra Serif" w:hAnsi="PT Astra Serif" w:cs="PT Astra Serif"/>
          <w:b/>
          <w:color w:val="5f497a" w:themeColor="accent4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</w:rPr>
        <w:t xml:space="preserve">ОРГАНИЗАЦИЯ РЕГИОНАЛЬНОГО ГЕОЛОГИЧЕСКОГО ИЗУЧЕНИЯ НЕДР</w:t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</w:rPr>
      </w:r>
    </w:p>
    <w:p>
      <w:pPr>
        <w:pStyle w:val="906"/>
        <w:ind w:left="0"/>
        <w:spacing w:after="0" w:line="20" w:lineRule="atLeast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</w:p>
    <w:p>
      <w:pPr>
        <w:pStyle w:val="906"/>
        <w:ind w:left="0"/>
        <w:spacing w:after="0" w:line="20" w:lineRule="atLeast"/>
        <w:rPr>
          <w:rFonts w:ascii="PT Astra Serif" w:hAnsi="PT Astra Serif" w:cs="PT Astra Serif"/>
          <w:b/>
          <w:i/>
          <w:color w:val="f79646" w:themeColor="accent6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  <w:highlight w:val="white"/>
        </w:rPr>
        <w:t xml:space="preserve">Цель 1. Повышение степени геологической, геофизической и гидрогеологической изученности территории РФ и ее континентального шельфа,</w:t>
      </w:r>
      <w:r>
        <w:rPr>
          <w:rFonts w:ascii="PT Astra Serif" w:hAnsi="PT Astra Serif" w:eastAsia="PT Astra Serif" w:cs="PT Astra Serif"/>
          <w:b/>
          <w:color w:val="f79646" w:themeColor="accent6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  <w:highlight w:val="white"/>
        </w:rPr>
        <w:t xml:space="preserve">государств</w:t>
      </w: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  <w:highlight w:val="white"/>
        </w:rPr>
        <w:t xml:space="preserve">енный мониторинг состояния недр</w:t>
      </w:r>
      <w:r>
        <w:rPr>
          <w:rFonts w:ascii="PT Astra Serif" w:hAnsi="PT Astra Serif" w:cs="PT Astra Serif"/>
          <w:b/>
          <w:i/>
          <w:color w:val="f79646" w:themeColor="accent6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f79646" w:themeColor="accent6"/>
          <w:sz w:val="28"/>
          <w:szCs w:val="28"/>
          <w:highlight w:val="white"/>
        </w:rPr>
      </w:r>
    </w:p>
    <w:p>
      <w:pPr>
        <w:pStyle w:val="906"/>
        <w:ind w:left="0"/>
        <w:spacing w:after="0" w:line="20" w:lineRule="atLeast"/>
        <w:rPr>
          <w:rFonts w:ascii="PT Astra Serif" w:hAnsi="PT Astra Serif" w:cs="PT Astra Serif"/>
          <w:b/>
          <w:i/>
          <w:color w:val="92d05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i/>
          <w:color w:val="92d05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92d05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92d050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В целях обеспечения прироста геологической, геофизической и гидрогеологической изученности территории России в первом полугодии 202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года выполнялись и ведутся в настоящее время региональные геолого-геофи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зические и геолого-съёмочные работы, направленные на геологическое изучение территорий и воспроизводство минерально-сырьевой базы на Северо-Западе, Северном Кавказе, Урале, в Сибири, Забайкалье, на Дальнем Востоке и в Арктической зоне Российской Федерации.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  <w:lang w:val="ru-RU"/>
        </w:rPr>
        <w:t xml:space="preserve">В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ыполня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  <w:lang w:val="ru-RU"/>
        </w:rPr>
        <w:t xml:space="preserve">ются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 работы по созданию государственной сети опорных геолого-геофизических профилей на Дальнем Востоке и в Забайкалье для обеспечения глубинной геолого-геофизической изученности территории России и ее континентального шельфа. </w:t>
      </w:r>
      <w:r>
        <w:rPr>
          <w:rFonts w:hint="default"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Прирост государственной сети опорных геолого-геофизических профилей на территории России и ее континентальном шельфе: 2024 г. </w:t>
      </w:r>
      <w:r>
        <w:rPr>
          <w:rFonts w:hint="default" w:ascii="PT Astra Serif" w:hAnsi="PT Astra Serif" w:eastAsia="PT Astra Serif" w:cs="PT Astra Serif"/>
          <w:bCs/>
          <w:color w:val="auto"/>
          <w:sz w:val="28"/>
          <w:szCs w:val="28"/>
          <w:highlight w:val="white"/>
          <w:lang w:val="ru-RU"/>
        </w:rPr>
        <w:t xml:space="preserve">составит</w:t>
      </w:r>
      <w:r>
        <w:rPr>
          <w:rFonts w:hint="default"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 500 тыс. метров погонных</w:t>
      </w:r>
      <w:r>
        <w:rPr>
          <w:rFonts w:hint="default" w:ascii="PT Astra Serif" w:hAnsi="PT Astra Serif" w:eastAsia="PT Astra Serif" w:cs="PT Astra Serif"/>
          <w:bCs/>
          <w:color w:val="auto"/>
          <w:sz w:val="28"/>
          <w:szCs w:val="28"/>
          <w:highlight w:val="white"/>
          <w:lang w:val="ru-RU"/>
        </w:rPr>
        <w:t xml:space="preserve">.</w:t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426" w:leader="none"/>
        </w:tabs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Выполня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ются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мелко- и среднемасштабные гидрогеологические и инженерно-геологические съемки в Арктической зоне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,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на Дальнем Востоке и регионах России с напряж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ё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нной водохозяйственной обстановкой для выявления перспективных участков для постановки поисково-оценочных работ на подземные воды и инженерно-геологического обоснования районов перспективного освоения.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 Прирост мелкомасштабной гидрогеологической и инженерно-геологической изученности территории России в 2024 г. 124 000 км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vertAlign w:val="superscript"/>
          <w:lang w:val="ru-RU"/>
        </w:rPr>
        <w:t xml:space="preserve">2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. Прирост среднемасштабной гидрогеологической и инженерно-геологической изученности территории России 2024 г. составит 13 300 км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vertAlign w:val="superscript"/>
          <w:lang w:val="ru-RU"/>
        </w:rPr>
        <w:t xml:space="preserve">2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.</w:t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426" w:leader="none"/>
        </w:tabs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Учитывая специфику вышеуказанных работ, значение индикаторов достижения цели представляется возможным определить только по итогам года в целом.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426" w:leader="none"/>
        </w:tabs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В целях осуществления государственного мониторинга состояния недр провод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ятся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геолого-геофизические работы по прогнозу землетрясений, включая оценку сейсмогеодинамического состояния Северо-Кавказского, Алтае-Саянского, Байкальского и Да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льневосточного сейсмоопасных регионов, с направлением информационной продукции в МЧС России и Российский экспертный совет по прогнозированию землетрясений и оценке сейсмической опасности РАН. Выполнение данных работ будет продолжено во втором полугодии 202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года.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 Количество наблюдательных скважин гидрогеодеформационного поля в сейсмоопасных регионах России в 2024 г. 103 ед., количество полигонов для ведения геофизического и газогеохимического мониторинга в сейсмоопасных регионах России, в 2024 г. 8 ед.</w:t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426" w:leader="none"/>
        </w:tabs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На постоянной основе организовано проведение государственного мониторинга состояния недр на всей территории Российской Федерации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(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на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977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пунктах наблюдений за опасными экзогенными геологическими процессами и на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6 450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пунктах – за режимом подземных вод и их загрязнением), включая оценку состояния и загрязнения подземных вод, опасных экзогенных геологических процессов, подготовку информационных бюллетеней, сводок, сезонных прогнозов.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Результаты работ по прогнозу землетрясений и государственному мониторингу состояния недр, выполненные в первом полугодии 202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года, размещаются на информационном сайте о состоянии недр ФГБУ «Гидроспецгеология» (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instrText xml:space="preserve"> HYPERLINK "http://www.geomonitoring.ru" \o "http://www.geomonitoring.ru" </w:instrTex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u w:val="single"/>
          <w:lang w:val="en-US"/>
        </w:rPr>
        <w:t xml:space="preserve">www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u w:val="single"/>
        </w:rPr>
        <w:t xml:space="preserve">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u w:val="single"/>
          <w:lang w:val="en-US"/>
        </w:rPr>
        <w:t xml:space="preserve">geomonitoring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u w:val="single"/>
        </w:rPr>
        <w:t xml:space="preserve">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u w:val="single"/>
          <w:lang w:val="en-US"/>
        </w:rPr>
        <w:t xml:space="preserve">ru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u w:val="single"/>
          <w:lang w:val="en-US"/>
        </w:rPr>
        <w:fldChar w:fldCharType="end"/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) и доступны для просмотра и скачивания.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e36c0a" w:themeColor="accent6" w:themeShade="B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e36c0a" w:themeColor="accent6" w:themeShade="BF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e36c0a" w:themeColor="accent6" w:themeShade="BF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  <w:highlight w:val="white"/>
        </w:rPr>
        <w:t xml:space="preserve">Цель 2. Обеспечение международно-правового оформления внешних г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раниц континентального шельфа Российской Федера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ции в Северном Ледовитом океане</w:t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В первом полугодии 2024 года продолжается подготовка и актуализация материалов Представления Российской Федерации на расширенный континентальный шельф в Северном Ледовитом океане в соответствии со статьей 76 Конвенции ООН по морскому праву 1982 г.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906"/>
        <w:ind w:left="0"/>
        <w:spacing w:after="0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Цель 3. Обеспечение геополитических интересов Российской Федерации в Арктике, Антарктике и Мировом океане</w:t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В первом полугодии 202</w:t>
      </w:r>
      <w:r>
        <w:rPr>
          <w:rFonts w:hint="default" w:ascii="PT Astra Serif" w:hAnsi="PT Astra Serif" w:eastAsia="PT Astra Serif" w:cs="PT Astra Serif"/>
          <w:bCs/>
          <w:color w:val="auto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 года в 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  <w:lang w:val="ru-RU"/>
        </w:rPr>
        <w:t xml:space="preserve">составе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 6</w:t>
      </w:r>
      <w:r>
        <w:rPr>
          <w:rFonts w:hint="default" w:ascii="PT Astra Serif" w:hAnsi="PT Astra Serif" w:eastAsia="PT Astra Serif" w:cs="PT Astra Serif"/>
          <w:bCs/>
          <w:color w:val="auto"/>
          <w:sz w:val="28"/>
          <w:szCs w:val="28"/>
          <w:highlight w:val="white"/>
          <w:lang w:val="ru-RU"/>
        </w:rPr>
        <w:t xml:space="preserve">9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-й Российской антарктической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экспедиции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 проводились: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-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морские полевые геофизические работы в тихоокеанском секторе Антарктики между морями Амундсена и Росса.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- камеральные работы: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обработка и интерпретация сейсмич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еских данных МОВ ОГТ, полученных в море Дейвиса, аэрогеофизических (магнитных и радиолокационных) данных, полученных в северо-западной части Земли Принцессы Елизаветы и составление комплектов карт и схем геолого-геофизического содержания по районам работ; </w:t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hint="default"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-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составление карт геологического содержания островов Рёуэр и схемы корреляции вещественных комплексов и тектономагматических событий островов Рёуэр с сопредельными территориями Восточной Антарктиды и Индии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.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Предварительная обработка и интерпретация полевых геологических и геофизических данных,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составление предварительных карт и схем геолого-геофизического содержания по району работ.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Продолжаются работы по изучению и оценке минерально-сырьевого потенциала Антарктиды и ее окраинных морей</w:t>
      </w:r>
      <w:r>
        <w:rPr>
          <w:rFonts w:ascii="PT Astra Serif" w:hAnsi="PT Astra Serif" w:eastAsia="PT Astra Serif" w:cs="PT Astra Serif"/>
          <w:bCs/>
          <w:color w:val="auto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В соответствии со Стратегией российского присутствия на архипелаге Шпицберген в первом полугодии 202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4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 года начата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актуа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лизация комплекта современной геологической основы архипелага Шпицберген и прилегающего шельфа масштаба 1:1 000 000 (предварительная геологическая карта дочетвертичных образований м-ба 1:1 000 000, предварительная тектоническая схема масштаба 1:2 500 000).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Создание дистанционной геофизической основы архипелага Шпицберген и прилегающих акваторий м-ба 1:1 000 000 (предварительная карта аномального магнитного поля м-ба 1:1 000 000, предварительная карта гравитационного поля м-ба 1:1 000 000).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 Проводятся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полевые работы на ключевом опорном участке восточного побережья пролива Форландсундет и прилегающей территории (северная часть Земли Оскара II)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6"/>
        <w:ind w:left="0" w:firstLine="709"/>
        <w:jc w:val="center"/>
        <w:spacing w:before="0" w:after="0"/>
        <w:rPr>
          <w:rFonts w:ascii="PT Astra Serif" w:hAnsi="PT Astra Serif" w:cs="PT Astra Serif"/>
          <w:b/>
          <w:color w:val="5f497a" w:themeColor="accent4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</w:rPr>
        <w:t xml:space="preserve">ОРГАНИЗАЦИЯ РАБОТ ПО </w:t>
      </w: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</w:rPr>
        <w:t xml:space="preserve">ВОСПРОИЗВОДСТВ</w:t>
      </w: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</w:rPr>
        <w:t xml:space="preserve"> МИНЕРАЛЬНО-СЫРЬЕВОЙ БАЗЫ </w:t>
      </w: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</w:rPr>
        <w:t xml:space="preserve">РОССИИ</w:t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Цель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 1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Воспроизводство минерально-сырьевой базы углеводородного сырья (УВС)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</w:rPr>
        <w:t xml:space="preserve">и подземных вод (ПВ)</w:t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PT Astra Serif" w:hAnsi="PT Astra Serif" w:cs="PT Astra Serif"/>
          <w:b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sz w:val="28"/>
          <w:szCs w:val="28"/>
        </w:rPr>
        <w:t xml:space="preserve">ВМСБ </w:t>
      </w:r>
      <w:r>
        <w:rPr>
          <w:rFonts w:ascii="PT Astra Serif" w:hAnsi="PT Astra Serif" w:eastAsia="PT Astra Serif" w:cs="PT Astra Serif"/>
          <w:b/>
          <w:i/>
          <w:sz w:val="28"/>
          <w:szCs w:val="28"/>
        </w:rPr>
        <w:t xml:space="preserve">УВС</w:t>
      </w:r>
      <w:r>
        <w:rPr>
          <w:rFonts w:ascii="PT Astra Serif" w:hAnsi="PT Astra Serif" w:cs="PT Astra Serif"/>
          <w:b/>
          <w:i/>
          <w:sz w:val="28"/>
          <w:szCs w:val="28"/>
        </w:rPr>
      </w:r>
      <w:r>
        <w:rPr>
          <w:rFonts w:ascii="PT Astra Serif" w:hAnsi="PT Astra Serif" w:cs="PT Astra Serif"/>
          <w:b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целях воспроизводства минерально-сырьевой базы углеводородного сырья в первом полугодии 2024 года за счет средств федерального бюджета на территории и акватории Российской Федерации выполняются региональные работы н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32 объектах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Наибольшее количество объектов сосредоточено в пределах перспективных зон нефтегазоносных провинций России,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том числе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13 в отдаленных районах Восточной Сибири и Дальнего Востока (Республика Саха (Якутия), Красноярский край и Иркутская область)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6 -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континентальном шельфе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Арктических, Дальневосточных и Южных морей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Во 2-ом полугодии запланировано начало сейсморазведочных работ на двух новых объект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ах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Республике Саха (Якутия).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За первое полугодие 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года на Государственный баланс запасов полезных ископаемых были впервые поставлены запасы 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месторождений углеводородного сырья,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том числе одно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среднее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по запасам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нефти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неф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тяное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месторождение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им. А.В.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Пушина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Оренбургской области. Остальные месторождения очень мелкие по запасам нефти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 газа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 открыты на территории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Приволжского ФО. Суммарные извлекаемые запасы по открытым месторождениям по категориям С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+С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</w:rPr>
        <w:t xml:space="preserve">2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составили по нефти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7,8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млн т, по газу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0,032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млрд.м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perscript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итогам первого полугодия 2024 года прирост запасов промышленных категорий по результатам геологоразведочных работ, проводимых недропользователями за счет собственных средств, составил по: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 жидким углеводородам (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нефть+конденсат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) по категориям 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23,4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т.;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 газу (свободный газ + газ газовых шапок) по категориям 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  <w:lang w:eastAsia="ru-RU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449,8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 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perscript"/>
          <w:lang w:eastAsia="ru-RU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i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sz w:val="28"/>
          <w:szCs w:val="28"/>
        </w:rPr>
        <w:t xml:space="preserve">ВМСБ ПВ</w:t>
      </w:r>
      <w:r>
        <w:rPr>
          <w:rFonts w:ascii="PT Astra Serif" w:hAnsi="PT Astra Serif" w:cs="PT Astra Serif"/>
          <w:b/>
          <w:i/>
          <w:sz w:val="28"/>
          <w:szCs w:val="28"/>
        </w:rPr>
      </w:r>
      <w:r>
        <w:rPr>
          <w:rFonts w:ascii="PT Astra Serif" w:hAnsi="PT Astra Serif" w:cs="PT Astra Serif"/>
          <w:b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В первом полугодии 2024 года геологоразведочные работы по обеспечению воспроизводства ресурсной базы подземных вод за счет средств федерального бюджета проводились и продолжаются на 11 объектах в рамках комплекса процессных мероприятий «Государственное гео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логическое изучение недр и обеспечение эффективной реализации государственных функций в сфере недропользования» и на 14 объектах в рамках Федерального проекта «Геология: Возрождение легенды». Начаты работы по 6 новым объектам.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Работы проводятся во всех фед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еральных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 округах Российской Федерации (Уральский федеральный округ – 5 объектов, Дальневосточный федеральный округ - 7, Южный федеральный округ - 7, Сибирский федеральный округ - 4, Северо-Западный федеральный округ – 3, Центральный - 1, Приволжский - 3, Северо-Ка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вказский федеральный округ – 1 объект).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spacing w:after="0" w:line="240" w:lineRule="auto"/>
        <w:rPr>
          <w:rFonts w:ascii="PT Astra Serif" w:hAnsi="PT Astra Serif" w:cs="PT Astra Serif"/>
          <w:b/>
          <w:i/>
          <w:color w:val="f79646" w:themeColor="accent6"/>
          <w:sz w:val="28"/>
          <w:szCs w:val="28"/>
        </w:rPr>
      </w:pP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</w:rPr>
        <w:t xml:space="preserve">Цель</w:t>
      </w: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f79646" w:themeColor="accent6"/>
          <w:sz w:val="28"/>
          <w:szCs w:val="28"/>
        </w:rPr>
        <w:t xml:space="preserve">Воспроизводство минерально-сырьевой базы твердых полезных ископаемых (ТПИ)</w:t>
      </w:r>
      <w:r>
        <w:rPr>
          <w:rFonts w:ascii="PT Astra Serif" w:hAnsi="PT Astra Serif" w:cs="PT Astra Serif"/>
          <w:b/>
          <w:i/>
          <w:color w:val="f79646" w:themeColor="accent6"/>
          <w:sz w:val="28"/>
          <w:szCs w:val="28"/>
        </w:rPr>
      </w:r>
      <w:r>
        <w:rPr>
          <w:rFonts w:ascii="PT Astra Serif" w:hAnsi="PT Astra Serif" w:cs="PT Astra Serif"/>
          <w:b/>
          <w:i/>
          <w:color w:val="f79646" w:themeColor="accent6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PT Astra Serif"/>
          <w:b/>
          <w:color w:val="92d05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92d050"/>
          <w:sz w:val="28"/>
          <w:szCs w:val="28"/>
        </w:rPr>
      </w:r>
      <w:r>
        <w:rPr>
          <w:rFonts w:ascii="PT Astra Serif" w:hAnsi="PT Astra Serif" w:cs="PT Astra Serif"/>
          <w:b/>
          <w:color w:val="92d050"/>
          <w:sz w:val="28"/>
          <w:szCs w:val="28"/>
        </w:rPr>
      </w:r>
      <w:r>
        <w:rPr>
          <w:rFonts w:ascii="PT Astra Serif" w:hAnsi="PT Astra Serif" w:cs="PT Astra Serif"/>
          <w:b/>
          <w:color w:val="92d05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целях воспроизводства минерально-сырьевой базы твердых полезных ископаемых в первом полугодии 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года за счет средств федерального бюджета на территории Российской Федерации проводились работы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42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объектах на территории практически всех федеральных округов (Дальневосточный федеральный округ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Сибирский федеральный округ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Северо-Западный федеральный округ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Северо-Кавказский федеральный округ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Уральский федеральный округ – 3, Приволжский федеральный округ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Центральный федеральный округ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).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году завершаются работы на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19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объектах с планируемыми приростами прогнозных ресурсов категорий 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+Р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угля – 160 млн т,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железных руд – 250 млн т,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меди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160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 т, свинца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220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 т, цинка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810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 т, золота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15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т, серебра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6,7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 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бентонитовых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глин – 2 млн т и графита – 2 млн 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 Кроме того, ожидается прирост запасов категори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й С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+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vertAlign w:val="subscript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: железных руд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210 млн т, меди – 200 тыс. т, свинца – 520 тыс. т, цинка – 1 065 тыс. т 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бентонитовых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глин – 2,1 млн 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 истекший период 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по результатам геологоразведочных работ за счет средств недропользователей впервые на Государственный баланс поставлены запасы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месторождени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твердых полезных ископаемых, в т.ч.: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6"/>
        <w:numPr>
          <w:ilvl w:val="0"/>
          <w:numId w:val="19"/>
        </w:numPr>
        <w:spacing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золото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97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(из них россыпные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92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);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6"/>
        <w:numPr>
          <w:ilvl w:val="0"/>
          <w:numId w:val="19"/>
        </w:numPr>
        <w:spacing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неметаллические полезные ископаемые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Наиболее значимыми открытиями являются: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золоторудное месторождение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Сабыгыл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Магаданской области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 золота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2,1 т серебра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золоторудное месторождение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Зайцевское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Челябинской области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6,2 т золота, 4,7 т серебра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хногенное месторождение Мариинское в Свердловской области (в рамках «заявительного» принципа лицензирования – 2,2 тыс. т бериллия (оксид), 3,0 т изумрудов, 155,2 т берилла ювелирно-поделочного, 156,6 кг александрита, 436,3 кг фенакита, 1,2 т хризоберилла.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25"/>
        <w:ind w:left="23" w:right="23" w:firstLine="680"/>
        <w:spacing w:before="0" w:after="0" w:line="240" w:lineRule="auto"/>
        <w:shd w:val="clear" w:color="auto" w:fill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Выполнение показателя по воспроизводству запасов (отношение прироста запасов к добыче из недр в %) важнейших видов полезных ископаемых на уровне, предусмотренном Стратегией развития минерально-сырьевой базы Российской Федерации, по итогам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en-US" w:eastAsia="ru-RU" w:bidi="ru-RU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 полугодия 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 года составило: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6"/>
        <w:numPr>
          <w:ilvl w:val="0"/>
          <w:numId w:val="18"/>
        </w:numPr>
        <w:spacing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white"/>
          <w:lang w:eastAsia="ru-RU" w:bidi="ru-RU"/>
        </w:rPr>
        <w:t xml:space="preserve">«Первая группа»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полезных ископаемых (плановое значение 50%):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10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уголь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10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железо – 0%;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10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медь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никель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– 0%.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6"/>
        <w:numPr>
          <w:ilvl w:val="0"/>
          <w:numId w:val="18"/>
        </w:numPr>
        <w:spacing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white"/>
          <w:lang w:eastAsia="ru-RU" w:bidi="ru-RU"/>
        </w:rPr>
        <w:t xml:space="preserve">«Вторая группа»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 полезных ископаемых (плановое значение 100%):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09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свинец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09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цинк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%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09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золото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94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09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алмазы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06"/>
        <w:numPr>
          <w:ilvl w:val="0"/>
          <w:numId w:val="18"/>
        </w:numPr>
        <w:spacing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white"/>
          <w:lang w:eastAsia="ru-RU" w:bidi="ru-RU"/>
        </w:rPr>
        <w:t xml:space="preserve">«Третья группа»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 полезных ископаемых (плановое значение 75%):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10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уран – 0%;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10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хром – 0%;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710"/>
        <w:spacing w:after="12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 w:bidi="ru-RU"/>
        </w:rPr>
        <w:t xml:space="preserve">титан – 0%.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92d05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92d05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92d05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92d050"/>
          <w:sz w:val="28"/>
          <w:szCs w:val="28"/>
          <w:highlight w:val="white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  <w:highlight w:val="white"/>
        </w:rPr>
        <w:t xml:space="preserve">СБОР, ХРАНЕНИЕ И ПРЕДОСТАВЛЕНИЕ В ПОЛЬЗОВАНИЕ ГЕОЛОГИЧЕСКОЙ ИНФОРМАЦИИ</w:t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</w:p>
    <w:p>
      <w:pPr>
        <w:contextualSpacing/>
        <w:jc w:val="both"/>
        <w:spacing w:before="120" w:after="0" w:line="240" w:lineRule="auto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</w:p>
    <w:p>
      <w:pPr>
        <w:contextualSpacing/>
        <w:jc w:val="both"/>
        <w:spacing w:before="120" w:after="0" w:line="240" w:lineRule="auto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  <w:highlight w:val="white"/>
        </w:rPr>
        <w:t xml:space="preserve">Цель. Повышение качества, полноты и оперативности сбора и использования геологической информации о недрах Российской Федерации и ее континентального шельфа для осуществления функций государственного управления и предоставления геологической информа</w:t>
      </w:r>
      <w:r>
        <w:rPr>
          <w:rFonts w:ascii="PT Astra Serif" w:hAnsi="PT Astra Serif" w:eastAsia="PT Astra Serif" w:cs="PT Astra Serif"/>
          <w:b/>
          <w:i/>
          <w:color w:val="e36c0a" w:themeColor="accent6" w:themeShade="BF"/>
          <w:sz w:val="28"/>
          <w:szCs w:val="28"/>
          <w:highlight w:val="white"/>
        </w:rPr>
        <w:t xml:space="preserve">ции широкому кругу потребителей</w:t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</w:p>
    <w:p>
      <w:pPr>
        <w:contextualSpacing/>
        <w:jc w:val="both"/>
        <w:spacing w:before="120" w:after="0" w:line="240" w:lineRule="auto"/>
        <w:rPr>
          <w:rFonts w:ascii="PT Astra Serif" w:hAnsi="PT Astra Serif" w:cs="PT Astra Serif"/>
          <w:b/>
          <w:color w:val="e36c0a" w:themeColor="accent6" w:themeShade="B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e36c0a" w:themeColor="accent6" w:themeShade="BF"/>
          <w:sz w:val="28"/>
          <w:szCs w:val="28"/>
          <w:highlight w:val="white"/>
        </w:rPr>
      </w:r>
    </w:p>
    <w:p>
      <w:pPr>
        <w:pStyle w:val="906"/>
        <w:ind w:left="0" w:firstLine="709"/>
        <w:spacing w:before="0" w:after="0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За первое полугодие 2024 года фонд геологической информации пополнился более чем на 105 тыс. единиц.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pStyle w:val="906"/>
        <w:ind w:left="0" w:firstLine="708"/>
        <w:spacing w:before="0" w:after="0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Число интернет-обращений к фондовым материалам, в т.ч. с использованием возможностей ФГИС «ЕФГИ» составило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более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1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7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 тыс. ед., к ФГИС «АСЛН» – до </w:t>
      </w:r>
      <w:r>
        <w:rPr>
          <w:rFonts w:hint="default" w:ascii="PT Astra Serif" w:hAnsi="PT Astra Serif" w:eastAsia="PT Astra Serif" w:cs="PT Astra Serif"/>
          <w:color w:val="auto"/>
          <w:sz w:val="28"/>
          <w:szCs w:val="28"/>
          <w:highlight w:val="white"/>
          <w:lang w:val="en-US" w:eastAsia="ru-RU"/>
        </w:rPr>
        <w:t xml:space="preserve">730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ru-RU"/>
        </w:rPr>
        <w:t xml:space="preserve"> тыс.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pStyle w:val="906"/>
        <w:ind w:left="0"/>
        <w:spacing w:before="0" w:after="0"/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5f497a" w:themeColor="accent4" w:themeShade="BF"/>
          <w:sz w:val="28"/>
          <w:szCs w:val="28"/>
          <w:highlight w:val="white"/>
          <w:lang w:eastAsia="ru-RU"/>
        </w:rPr>
        <w:t xml:space="preserve">ОРГАНИЗАЦИОННОЕ ОБЕСПЕЧЕНИЕ ГОСУДАРСТВЕННОЙ СИСТЕМЫ ЛИЦЕНЗИРОВАНИЯ ПОЛЬЗОВАНИЯ НЕДРАМИ</w:t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color w:val="e36c0a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e36c0a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e36c0a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e36c0a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i/>
          <w:color w:val="e36c0a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i/>
          <w:color w:val="e36c0a"/>
          <w:sz w:val="28"/>
          <w:szCs w:val="28"/>
          <w:highlight w:val="white"/>
        </w:rPr>
        <w:t xml:space="preserve">Цель. Обеспечение комплексного рационального использования и охраны недр в целях защиты интересов государства и граждан Российской Федерации, </w:t>
      </w:r>
      <w:r>
        <w:rPr>
          <w:rFonts w:ascii="PT Astra Serif" w:hAnsi="PT Astra Serif" w:eastAsia="PT Astra Serif" w:cs="PT Astra Serif"/>
          <w:b/>
          <w:i/>
          <w:color w:val="e36c0a"/>
          <w:sz w:val="28"/>
          <w:szCs w:val="28"/>
          <w:highlight w:val="white"/>
        </w:rPr>
        <w:t xml:space="preserve">а также прав пользователей недр</w:t>
      </w:r>
      <w:r>
        <w:rPr>
          <w:rFonts w:ascii="PT Astra Serif" w:hAnsi="PT Astra Serif" w:cs="PT Astra Serif"/>
          <w:b/>
          <w:i/>
          <w:color w:val="e36c0a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color w:val="e36c0a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e36c0a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e36c0a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e36c0a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первом полугодии 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года Роснедрами и его территориальными органами было проведен 102 аукцион на право пользования недрами (70 – ТПИ,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26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– УВС, 6 – минеральные подземные воды). Право пользования недрами предоставлено по итогам (в т.ч. с единственным участником) 57 аукционов (38 – ТПИ 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15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– УВС, 4 – минеральные подземные воды).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Наиболее крупными по размеру разового платежа являются участки недр: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УВС:</w:t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numPr>
          <w:ilvl w:val="0"/>
          <w:numId w:val="20"/>
        </w:numPr>
        <w:contextualSpacing/>
        <w:ind w:left="992" w:hanging="283"/>
        <w:jc w:val="both"/>
        <w:spacing w:before="120"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Лазаревский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(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Саратовская область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).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ТПИ:</w:t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numPr>
          <w:ilvl w:val="0"/>
          <w:numId w:val="21"/>
        </w:numPr>
        <w:contextualSpacing/>
        <w:ind w:left="993" w:hanging="284"/>
        <w:jc w:val="both"/>
        <w:spacing w:before="120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Руч. Холодникан с притоками Разгаданный, Лесной, Ороченка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(золото россыпное, Республика Саха (Якутия));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numPr>
          <w:ilvl w:val="0"/>
          <w:numId w:val="21"/>
        </w:numPr>
        <w:contextualSpacing/>
        <w:ind w:left="992" w:hanging="283"/>
        <w:jc w:val="both"/>
        <w:spacing w:before="120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Амазаро-Калтагайское, Сухой Лог (система р. Амазар)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(золото россыпное, Забайкальский край);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numPr>
          <w:ilvl w:val="0"/>
          <w:numId w:val="21"/>
        </w:numPr>
        <w:contextualSpacing/>
        <w:ind w:left="992" w:hanging="283"/>
        <w:jc w:val="both"/>
        <w:spacing w:before="120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Месторождение ручья Верхняя Уда (золото россыпное, Хабаровский край);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numPr>
          <w:ilvl w:val="0"/>
          <w:numId w:val="21"/>
        </w:numPr>
        <w:contextualSpacing/>
        <w:ind w:left="993" w:hanging="284"/>
        <w:jc w:val="both"/>
        <w:spacing w:before="120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Р. Чиримба (среднее течение)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(золото россыпное, Красноярский край).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итогам первого полугодия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2024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Роснедрами и его территориальными органами было предоставлено в пользование 1311 участков недр,  (в т.ч. в порядке переоформления)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146 на УВС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878 – на ТПИ, 287 – подземные воды.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12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Комиссиями центрального аппарата Роснедр и его территориальных органов по рассмотрению вопросо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о досрочном прекращении, приостановлении или ограничении права пользования недрами были приняты решения: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12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- направить уведомления о нарушении условий пользования недрами по 564 лицензиям (в т.ч.: УВС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31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ТПИ – 533);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12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-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принять к сведению информацию об устранении допущенных нарушений условий пользования недрами по 414 лицензии (в т.ч. УВС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27</w:t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ТПИ - 387);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12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- досрочно прекратить право пользования недрами по 309 лицензиям (УВС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ТПИ - 306);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12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- приостановить либо ограничить право пользования недрами по 3 лицензиям (ТПИ 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Доходы федерального бюджета от разовых платежей за пользование недрами за отчетный период составил 4,5 млрд руб.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12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5174291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n"/>
      <w:lvlJc w:val="left"/>
      <w:pPr>
        <w:ind w:left="360" w:hanging="360"/>
      </w:pPr>
      <w:rPr>
        <w:rFonts w:hint="default" w:ascii="Wingdings" w:hAnsi="Wingdings"/>
        <w:color w:val="365f91" w:themeColor="accent1" w:themeShade="BF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3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3"/>
    <w:link w:val="902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1"/>
    <w:next w:val="901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3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1"/>
    <w:next w:val="901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3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3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3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3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1"/>
    <w:next w:val="901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3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1"/>
    <w:next w:val="901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3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1"/>
    <w:next w:val="901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3"/>
    <w:link w:val="747"/>
    <w:uiPriority w:val="10"/>
    <w:rPr>
      <w:sz w:val="48"/>
      <w:szCs w:val="48"/>
    </w:rPr>
  </w:style>
  <w:style w:type="paragraph" w:styleId="749">
    <w:name w:val="Subtitle"/>
    <w:basedOn w:val="901"/>
    <w:next w:val="901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3"/>
    <w:link w:val="749"/>
    <w:uiPriority w:val="11"/>
    <w:rPr>
      <w:sz w:val="24"/>
      <w:szCs w:val="24"/>
    </w:rPr>
  </w:style>
  <w:style w:type="paragraph" w:styleId="751">
    <w:name w:val="Quote"/>
    <w:basedOn w:val="901"/>
    <w:next w:val="901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1"/>
    <w:next w:val="901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3"/>
    <w:link w:val="913"/>
    <w:uiPriority w:val="99"/>
  </w:style>
  <w:style w:type="character" w:styleId="756">
    <w:name w:val="Footer Char"/>
    <w:basedOn w:val="903"/>
    <w:link w:val="915"/>
    <w:uiPriority w:val="99"/>
  </w:style>
  <w:style w:type="paragraph" w:styleId="757">
    <w:name w:val="Caption"/>
    <w:basedOn w:val="901"/>
    <w:next w:val="901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915"/>
    <w:uiPriority w:val="99"/>
  </w:style>
  <w:style w:type="table" w:styleId="759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03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3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</w:style>
  <w:style w:type="paragraph" w:styleId="902">
    <w:name w:val="Heading 1"/>
    <w:basedOn w:val="901"/>
    <w:next w:val="901"/>
    <w:link w:val="909"/>
    <w:uiPriority w:val="9"/>
    <w:qFormat/>
    <w:pPr>
      <w:keepLines/>
      <w:keepNext/>
      <w:spacing w:before="240" w:after="0"/>
      <w:outlineLvl w:val="0"/>
    </w:pPr>
    <w:rPr>
      <w:rFonts w:eastAsia="Times New Roman" w:asciiTheme="majorHAnsi" w:hAnsiTheme="majorHAnsi" w:cstheme="majorBidi"/>
      <w:caps/>
      <w:color w:val="365f91" w:themeColor="accent1" w:themeShade="BF"/>
      <w:sz w:val="28"/>
      <w:szCs w:val="28"/>
      <w:lang w:eastAsia="ru-RU"/>
    </w:rPr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paragraph" w:styleId="906">
    <w:name w:val="List Paragraph"/>
    <w:basedOn w:val="901"/>
    <w:uiPriority w:val="99"/>
    <w:qFormat/>
    <w:pPr>
      <w:contextualSpacing/>
      <w:ind w:left="720"/>
      <w:jc w:val="both"/>
      <w:spacing w:before="120" w:after="160" w:line="240" w:lineRule="auto"/>
    </w:pPr>
    <w:rPr>
      <w:rFonts w:ascii="Times New Roman" w:hAnsi="Times New Roman"/>
      <w:sz w:val="24"/>
    </w:rPr>
  </w:style>
  <w:style w:type="paragraph" w:styleId="907">
    <w:name w:val="Balloon Text"/>
    <w:basedOn w:val="901"/>
    <w:link w:val="90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8" w:customStyle="1">
    <w:name w:val="Текст выноски Знак"/>
    <w:basedOn w:val="903"/>
    <w:link w:val="907"/>
    <w:uiPriority w:val="99"/>
    <w:semiHidden/>
    <w:rPr>
      <w:rFonts w:ascii="Tahoma" w:hAnsi="Tahoma" w:cs="Tahoma"/>
      <w:sz w:val="16"/>
      <w:szCs w:val="16"/>
    </w:rPr>
  </w:style>
  <w:style w:type="character" w:styleId="909" w:customStyle="1">
    <w:name w:val="Заголовок 1 Знак"/>
    <w:basedOn w:val="903"/>
    <w:link w:val="902"/>
    <w:uiPriority w:val="9"/>
    <w:rPr>
      <w:rFonts w:eastAsia="Times New Roman" w:asciiTheme="majorHAnsi" w:hAnsiTheme="majorHAnsi" w:cstheme="majorBidi"/>
      <w:caps/>
      <w:color w:val="365f91" w:themeColor="accent1" w:themeShade="BF"/>
      <w:sz w:val="28"/>
      <w:szCs w:val="28"/>
      <w:lang w:eastAsia="ru-RU"/>
    </w:rPr>
  </w:style>
  <w:style w:type="character" w:styleId="910">
    <w:name w:val="Hyperlink"/>
    <w:basedOn w:val="903"/>
    <w:uiPriority w:val="99"/>
    <w:semiHidden/>
    <w:unhideWhenUsed/>
    <w:rPr>
      <w:strike w:val="0"/>
      <w:color w:val="666699"/>
      <w:u w:val="none"/>
    </w:rPr>
  </w:style>
  <w:style w:type="paragraph" w:styleId="911">
    <w:name w:val="Body Text Indent"/>
    <w:basedOn w:val="901"/>
    <w:link w:val="912"/>
    <w:uiPriority w:val="99"/>
    <w:unhideWhenUsed/>
    <w:pPr>
      <w:ind w:left="283"/>
      <w:spacing w:after="120"/>
    </w:pPr>
  </w:style>
  <w:style w:type="character" w:styleId="912" w:customStyle="1">
    <w:name w:val="Основной текст с отступом Знак"/>
    <w:basedOn w:val="903"/>
    <w:link w:val="911"/>
    <w:uiPriority w:val="99"/>
  </w:style>
  <w:style w:type="paragraph" w:styleId="913">
    <w:name w:val="Header"/>
    <w:basedOn w:val="901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903"/>
    <w:link w:val="913"/>
    <w:uiPriority w:val="99"/>
  </w:style>
  <w:style w:type="paragraph" w:styleId="915">
    <w:name w:val="Footer"/>
    <w:basedOn w:val="901"/>
    <w:link w:val="91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903"/>
    <w:link w:val="915"/>
    <w:uiPriority w:val="99"/>
  </w:style>
  <w:style w:type="table" w:styleId="917">
    <w:name w:val="Table Grid"/>
    <w:basedOn w:val="9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8">
    <w:name w:val="annotation reference"/>
    <w:basedOn w:val="903"/>
    <w:uiPriority w:val="99"/>
    <w:semiHidden/>
    <w:unhideWhenUsed/>
    <w:rPr>
      <w:sz w:val="16"/>
      <w:szCs w:val="16"/>
    </w:rPr>
  </w:style>
  <w:style w:type="paragraph" w:styleId="919">
    <w:name w:val="annotation text"/>
    <w:basedOn w:val="901"/>
    <w:link w:val="9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примечания Знак"/>
    <w:basedOn w:val="903"/>
    <w:link w:val="919"/>
    <w:uiPriority w:val="99"/>
    <w:semiHidden/>
    <w:rPr>
      <w:sz w:val="20"/>
      <w:szCs w:val="20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b/>
      <w:bCs/>
      <w:sz w:val="20"/>
      <w:szCs w:val="20"/>
    </w:rPr>
  </w:style>
  <w:style w:type="paragraph" w:styleId="923" w:customStyle="1">
    <w:name w:val="!!!_____2010_Текст в 2 колонки"/>
    <w:basedOn w:val="901"/>
    <w:uiPriority w:val="99"/>
    <w:pPr>
      <w:ind w:firstLine="283"/>
      <w:jc w:val="both"/>
      <w:spacing w:before="120" w:after="0" w:line="280" w:lineRule="atLeast"/>
    </w:pPr>
    <w:rPr>
      <w:rFonts w:ascii="Times New Roman" w:hAnsi="Times New Roman" w:cs="Times New Roman"/>
      <w:color w:val="000000"/>
    </w:rPr>
  </w:style>
  <w:style w:type="character" w:styleId="924" w:customStyle="1">
    <w:name w:val="Body text (4)_"/>
    <w:basedOn w:val="903"/>
    <w:link w:val="925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925" w:customStyle="1">
    <w:name w:val="Body text (4)"/>
    <w:basedOn w:val="901"/>
    <w:link w:val="924"/>
    <w:pPr>
      <w:jc w:val="both"/>
      <w:spacing w:before="180" w:after="60" w:line="32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B0F2-E219-472A-A8A4-36A91D0B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FGUP VSEGEI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Валуйскова Елена Васильевна</dc:creator>
  <cp:lastModifiedBy>evaluiskova</cp:lastModifiedBy>
  <cp:revision>19</cp:revision>
  <dcterms:created xsi:type="dcterms:W3CDTF">2021-08-09T14:16:00Z</dcterms:created>
  <dcterms:modified xsi:type="dcterms:W3CDTF">2026-03-19T12:06:20Z</dcterms:modified>
</cp:coreProperties>
</file>