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Отчет 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об исполнении Ведомственного плана Федерального агентства по недропользованию 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по реализации Концепции открытости федеральных органов исполнительной власти 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за 2025 год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bidi="ru-RU"/>
        </w:rPr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tbl>
      <w:tblPr>
        <w:tblStyle w:val="964"/>
        <w:tblW w:w="15590" w:type="dxa"/>
        <w:tblLayout w:type="fixed"/>
        <w:tblLook w:val="04A0" w:firstRow="1" w:lastRow="0" w:firstColumn="1" w:lastColumn="0" w:noHBand="0" w:noVBand="1"/>
      </w:tblPr>
      <w:tblGrid>
        <w:gridCol w:w="644"/>
        <w:gridCol w:w="4883"/>
        <w:gridCol w:w="2551"/>
        <w:gridCol w:w="7512"/>
      </w:tblGrid>
      <w:tr>
        <w:tblPrEx/>
        <w:trPr/>
        <w:tc>
          <w:tcPr>
            <w:tcW w:w="644" w:type="dxa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 xml:space="preserve">№ п/п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Наименование мероприятия 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Информация об исполнении 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Примечание 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</w:tr>
      <w:tr>
        <w:tblPrEx/>
        <w:trPr/>
        <w:tc>
          <w:tcPr>
            <w:gridSpan w:val="4"/>
            <w:tcW w:w="15590" w:type="dxa"/>
            <w:vMerge w:val="restart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eastAsia="PT Astra Serif" w:cs="PT Astra Serif"/>
                <w:b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Раздел I. Внутриведомственные организационные мероприятия </w:t>
            </w: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</w:r>
          </w:p>
        </w:tc>
      </w:tr>
      <w:tr>
        <w:tblPrEx/>
        <w:trPr>
          <w:trHeight w:val="1192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3.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spacing w:after="0" w:afterAutospacing="0"/>
              <w:widowControl w:val="off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  <w:lang w:bidi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Анализ наполняемости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официально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сайт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информационно-телекоммуникационной сети «Интернет» 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Протоколы заседаний Комиссии Общественного совета при Роснедрах по взаимодействию с общественными организациями и информационной открытости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943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4.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spacing w:after="0" w:afterAutospacing="0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Подготовка и размещение 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официальном сайте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годового отчета о реализации 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едомственн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план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Федерального агентства по недропользованию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 реализации Концепции открытости федеральных органов исполнительной власти за 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год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Отчет размещен на официальном сайте Роснедр в сети «Интернет» по ссылке 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hyperlink r:id="rId11" w:tooltip="https://rosnedra.gov.ru/about/open-agency/vedomstvennyy-plan/informatsiya-za-2023-god-o-khode-realizatsii-v-federalnom-agentstve-po-nedropolzovaniyu-printsipov-i/" w:history="1">
              <w:r>
                <w:rPr>
                  <w:rStyle w:val="955"/>
                  <w:rFonts w:ascii="PT Astra Serif" w:hAnsi="PT Astra Serif" w:eastAsia="PT Astra Serif" w:cs="PT Astra Serif"/>
                  <w:bCs/>
                  <w:lang w:bidi="ru-RU"/>
                </w:rPr>
                <w:t xml:space="preserve">https://rosnedra.gov.ru/about/open-agency/vedomstvennyy-plan/informatsiya-za-2023-god</w:t>
              </w:r>
            </w:hyperlink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273"/>
        </w:trPr>
        <w:tc>
          <w:tcPr>
            <w:gridSpan w:val="4"/>
            <w:tcW w:w="1559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widowControl w:val="off"/>
              <w:rPr>
                <w:rFonts w:ascii="PT Astra Serif" w:hAnsi="PT Astra Serif" w:eastAsia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II. Развитие ключевых механизмов открытости </w:t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</w:p>
        </w:tc>
      </w:tr>
      <w:tr>
        <w:tblPrEx/>
        <w:trPr>
          <w:trHeight w:val="1120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1.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Общественного совета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Роснедрах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  <w:lang w:bidi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Обеспечено проведение 4-х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заседани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й Общественного совета при Роснедрах (1 в форме заочного голосования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), на которых рассматривались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проект Доклада об антимонопольном комплаенсе 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за 2024 год и проект плана мероприятий («дорожной карты») по снижению комплаенс-рисков Роснедр на 2025 год; проект доклада об итогах работы Роснедр в 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24 году; проект ведомственного плана Роснедр по реализации Концепции открытости федеральных органов исполнительной власти на 2025 год;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практика и эффективность осуществления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Роснедрами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государственных закупок; вопросы 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заимодействия с международными общественными и профессиональными объединениями; 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опросы стимулирования геологического изучения недр, воспроизводства и освоения минерально-сырьевой базы РФ;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адачи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финансово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го обеспечени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Стратегии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развития минерально-сырьевой базы Российской Федерации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 2050 года; 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адровое обеспечение развития минерально-сырьевой базы РФ; 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екущее состояние и реализация новых технологий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егионального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геологического изучения недр; ц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ифровая трансформация и государственное геологическое информационное обеспечение и д.р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Документы Общественного совета размещены на официальном сайте Роснедр по ссылке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jc w:val="both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Style w:val="955"/>
                <w:rFonts w:ascii="PT Astra Serif" w:hAnsi="PT Astra Serif" w:eastAsia="PT Astra Serif" w:cs="PT Astra Serif"/>
                <w:sz w:val="24"/>
                <w:szCs w:val="24"/>
              </w:rPr>
              <w:t xml:space="preserve">https://www.rosnedra.gov.ru/category/167.html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</w:r>
            <w:hyperlink r:id="rId12" w:tooltip="https://www.rosnedra.gov.ru/category/476.html?mm=720&amp;ml=717" w:history="1">
              <w:r>
                <w:rPr>
                  <w:rFonts w:ascii="PT Astra Serif" w:hAnsi="PT Astra Serif" w:eastAsia="PT Astra Serif" w:cs="PT Astra Serif"/>
                  <w:color w:val="0563c1"/>
                  <w:sz w:val="24"/>
                  <w:szCs w:val="24"/>
                  <w:u w:val="single"/>
                  <w:lang w:eastAsia="en-US"/>
                </w:rPr>
                <w:t xml:space="preserve">mm=720&amp;ml=717</w:t>
              </w:r>
            </w:hyperlink>
            <w:r/>
            <w:r/>
          </w:p>
        </w:tc>
      </w:tr>
      <w:tr>
        <w:tblPrEx/>
        <w:trPr>
          <w:trHeight w:val="1120"/>
        </w:trPr>
        <w:tc>
          <w:tcPr>
            <w:tcW w:w="644" w:type="dxa"/>
            <w:vMerge w:val="restart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jc w:val="both"/>
              <w:keepNext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наборов открытых данных, размещенных на официальном сайте Роснедр в форме открытых данных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 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Роснедрами на официальном сайте опубликованы наборы открытых данных и внедрен функционал,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позволяющий оценить их востребованность и актуальность. Наборы открытых данных размещены по ссылке </w:t>
            </w:r>
            <w:hyperlink r:id="rId13" w:tooltip="https://www.rosnedra.gov.ru/opendata" w:history="1">
              <w:r>
                <w:rPr>
                  <w:rStyle w:val="955"/>
                  <w:rFonts w:ascii="PT Astra Serif" w:hAnsi="PT Astra Serif" w:eastAsia="PT Astra Serif" w:cs="PT Astra Serif"/>
                  <w:sz w:val="24"/>
                  <w:szCs w:val="24"/>
                </w:rPr>
                <w:t xml:space="preserve">https://www.rosnedra.gov.ru/opendata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Анализ статистики количества просмотров и скачиваний наборов открытых данных позволил определить, что в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 году 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наиболее востребованной информацией Роснедр в формате открытых данных являлась: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нформация об обращениях граждан (сведения о тематике и результатах рассмотрения)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(количество загрузок - 19299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);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наименование подведомственных организаций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 – (количество загрузок –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18898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- р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еестр государственных геологических карт масштабов от 1:5000000 до 1: 200000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(количество загрузок - 16815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);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еречень федеральных и государственных программ, выполняемых Роснедрами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количество загрузок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16136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аименование территориальных органов Федерального агентства по недропользованию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количество загрузок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15799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120"/>
        </w:trPr>
        <w:tc>
          <w:tcPr>
            <w:tcW w:w="644" w:type="dxa"/>
            <w:vMerge w:val="restart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нформирование о планах, событиях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мероприятиях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 результатах деятельности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посредством размещения информации на официальном сайте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официальных страницах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 социальных сетях, публикаций в СМИ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20"/>
        </w:trPr>
        <w:tc>
          <w:tcPr>
            <w:tcW w:w="644" w:type="dxa"/>
            <w:vMerge w:val="restart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овлечение в сотрудничество представителей референтных групп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 обсуждение проектов нормативных правовых актов;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 оценка качества предоставления государственных услуг, в том числе в электронном виде;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 уча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стие в мероприятиях, организуемых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Роснедрами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в том числе совещаниях-семинарах по 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правлениям деятельности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 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Общественным советом при Роснедрах на полугодовой основе в рамках анализа ответов Роснедр на обращения граждан и организаций проводилась в том числе  оценка качества предоставления государственных услуг.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Проведен онлайн опрос о деятельности Роснедр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hyperlink r:id="rId14" w:tooltip="https://rosnedra.gov.ru/press/news/priglashaem-prinyat-uchastie-v-oprose-o-deyatelnosti-federalnogo-agentstva-po-nedropolzovaniyu-/" w:history="1">
              <w:r>
                <w:rPr>
                  <w:rStyle w:val="955"/>
                  <w:rFonts w:ascii="PT Astra Serif" w:hAnsi="PT Astra Serif" w:eastAsia="PT Astra Serif" w:cs="PT Astra Serif"/>
                  <w:sz w:val="24"/>
                  <w:szCs w:val="24"/>
                  <w:highlight w:val="none"/>
                </w:rPr>
                <w:t xml:space="preserve">https://rosnedra.gov.ru/opros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Проведены следующие мероприятия: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- семинар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«П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роблематика разномасштабных исследований баженовского горизонта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научно-практический семинар «Машинное обучение для анализа кернового материала»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научно-практический семинар «Бурение и наука: параметрическая скважина Заозерная и ее вклад в геологию»;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аучно-практическая конференция имени Е.Г. Коваленко «Актуальные вопросы экспертизы геологических и извлекаемых запасов УВС»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сессия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«Восполнение ресурсной базы, геологический успех и вызовы геологоразведки»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зового форума;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круглый стол для недропользователей в рамках Горного форума МАЙНЕКС»;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юбилейный межведомственный Пленум Межведомственного стратиграфического комитета России;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конференция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"Ответственность мировых лидеров по запасам и добыче минерального сырья за устойчивое развитие глобальной экономики» в рамках проведения Петербургского международного экономического форума-2025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серия открытых мастер-классов по геологии, минералогии и геохимии в рамках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VI Фестиваля Русского географического общества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X конференция «Состояние и использование ресурсной базы углеводородного сырья Западной Сибири», посвященная 50-летию подведомственной организации Роснедр — ЗапСибНИИГГ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I Всероссийский форум «Россыпное золото России: пути развития, регулирование, технологии»;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сессия «Редкие и редкоземельные металлы – неотъемлемая часть высокотехнологичных производств»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Э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научно-практическая Конференция «Актуальные вопросы недропользования угольных месторождений»;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IV Форум недропользователей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Ц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дерального округа;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II Международный геологический Форум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GEONEXT 2025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витие»;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Всероссийское совещание «20 лет ЦКР ТПИ Роснедр: рациональный и комплексный подход к устойчивому освоению минерально-сырьевой базы России»;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XV Всероссийское совещание «Актуальные проблемы нефтегазовой геологии»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сессия, посвящённая  старту второго этапа Федерального проекта «Геология. Возрождение легенды»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I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I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восточного форума недропользователей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46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5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обзоров тематики обращений граждан и юридических лиц, а также обобщенной информации о результатах рассмотрения обращений и принятых мерах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63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6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Обеспечение рассмотрения на заседаниях Общественного совета при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Роснедрах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письменных ответов на обращения граждан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 юридических лиц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Протокол заочного голосования Общественного совета при Роснедрах от20.08.2025 №2/2025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342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  <w:t xml:space="preserve">7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Обеспечение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информирования общественности 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событиях и мероприятия (пресс-релиз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и пресс-анонс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исполнено 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42"/>
        </w:trPr>
        <w:tc>
          <w:tcPr>
            <w:tcW w:w="644" w:type="dxa"/>
            <w:vMerge w:val="restart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jc w:val="both"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Размещение проектов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нормативных правовых актов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на Федеральном портале проектов нормативных правовых актов 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regulation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gov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исполнено 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42"/>
        </w:trPr>
        <w:tc>
          <w:tcPr>
            <w:gridSpan w:val="4"/>
            <w:tcW w:w="1559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eastAsia="en-US"/>
              </w:rPr>
              <w:t xml:space="preserve">III. Инициативные проекты</w:t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</w:tc>
      </w:tr>
      <w:tr>
        <w:tblPrEx/>
        <w:trPr>
          <w:trHeight w:val="2472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1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 популяризацию отрасли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 и профессии «Геолог»</w:t>
            </w:r>
            <w:r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Роснедрами проведены следующие мероприятия: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III Международный геологический чемпионат «ГеоВызов»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  <w:t xml:space="preserve">- дополнительная общеобразовательная общеразвивающая программа «Международный кубок Юного Геолога» 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I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V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полевая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да юных геологов;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Конференция молодежных советов структуры Роснедр;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I Российско-Монгольская олимпиада юных геологов;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тематические треки по направлению «геология и геофизика»  в рамках Всероссийского научно-образовательного проекта «Плавучий университет».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567" w:right="992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92133650"/>
      <w:docPartObj>
        <w:docPartGallery w:val="Page Numbers (Top of Page)"/>
        <w:docPartUnique w:val="true"/>
      </w:docPartObj>
      <w:rPr/>
    </w:sdtPr>
    <w:sdtContent>
      <w:p>
        <w:pPr>
          <w:pStyle w:val="94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1"/>
  </w:num>
  <w:num w:numId="2">
    <w:abstractNumId w:val="8"/>
  </w:num>
  <w:num w:numId="3">
    <w:abstractNumId w:val="41"/>
  </w:num>
  <w:num w:numId="4">
    <w:abstractNumId w:val="9"/>
  </w:num>
  <w:num w:numId="5">
    <w:abstractNumId w:val="22"/>
  </w:num>
  <w:num w:numId="6">
    <w:abstractNumId w:val="21"/>
  </w:num>
  <w:num w:numId="7">
    <w:abstractNumId w:val="23"/>
  </w:num>
  <w:num w:numId="8">
    <w:abstractNumId w:val="36"/>
  </w:num>
  <w:num w:numId="9">
    <w:abstractNumId w:val="18"/>
  </w:num>
  <w:num w:numId="10">
    <w:abstractNumId w:val="38"/>
  </w:num>
  <w:num w:numId="11">
    <w:abstractNumId w:val="10"/>
  </w:num>
  <w:num w:numId="12">
    <w:abstractNumId w:val="33"/>
  </w:num>
  <w:num w:numId="13">
    <w:abstractNumId w:val="34"/>
  </w:num>
  <w:num w:numId="14">
    <w:abstractNumId w:val="2"/>
  </w:num>
  <w:num w:numId="15">
    <w:abstractNumId w:val="26"/>
  </w:num>
  <w:num w:numId="16">
    <w:abstractNumId w:val="4"/>
  </w:num>
  <w:num w:numId="17">
    <w:abstractNumId w:val="5"/>
  </w:num>
  <w:num w:numId="18">
    <w:abstractNumId w:val="17"/>
  </w:num>
  <w:num w:numId="19">
    <w:abstractNumId w:val="40"/>
  </w:num>
  <w:num w:numId="20">
    <w:abstractNumId w:val="35"/>
  </w:num>
  <w:num w:numId="21">
    <w:abstractNumId w:val="43"/>
  </w:num>
  <w:num w:numId="22">
    <w:abstractNumId w:val="27"/>
  </w:num>
  <w:num w:numId="23">
    <w:abstractNumId w:val="14"/>
  </w:num>
  <w:num w:numId="24">
    <w:abstractNumId w:val="37"/>
  </w:num>
  <w:num w:numId="25">
    <w:abstractNumId w:val="30"/>
  </w:num>
  <w:num w:numId="26">
    <w:abstractNumId w:val="39"/>
  </w:num>
  <w:num w:numId="27">
    <w:abstractNumId w:val="29"/>
  </w:num>
  <w:num w:numId="28">
    <w:abstractNumId w:val="0"/>
  </w:num>
  <w:num w:numId="29">
    <w:abstractNumId w:val="42"/>
  </w:num>
  <w:num w:numId="30">
    <w:abstractNumId w:val="20"/>
  </w:num>
  <w:num w:numId="31">
    <w:abstractNumId w:val="32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7"/>
  </w:num>
  <w:num w:numId="36">
    <w:abstractNumId w:val="15"/>
  </w:num>
  <w:num w:numId="37">
    <w:abstractNumId w:val="16"/>
  </w:num>
  <w:num w:numId="38">
    <w:abstractNumId w:val="6"/>
  </w:num>
  <w:num w:numId="39">
    <w:abstractNumId w:val="1"/>
  </w:num>
  <w:num w:numId="40">
    <w:abstractNumId w:val="3"/>
  </w:num>
  <w:num w:numId="41">
    <w:abstractNumId w:val="12"/>
  </w:num>
  <w:num w:numId="42">
    <w:abstractNumId w:val="19"/>
  </w:num>
  <w:num w:numId="43">
    <w:abstractNumId w:val="13"/>
  </w:num>
  <w:num w:numId="44">
    <w:abstractNumId w:val="28"/>
  </w:num>
  <w:num w:numId="45">
    <w:abstractNumId w:val="25"/>
  </w:num>
  <w:num w:numId="46">
    <w:abstractNumId w:val="4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>
    <w:name w:val="Heading 1"/>
    <w:basedOn w:val="940"/>
    <w:next w:val="940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2">
    <w:name w:val="Heading 1 Char"/>
    <w:basedOn w:val="941"/>
    <w:link w:val="771"/>
    <w:uiPriority w:val="9"/>
    <w:rPr>
      <w:rFonts w:ascii="Arial" w:hAnsi="Arial" w:eastAsia="Arial" w:cs="Arial"/>
      <w:sz w:val="40"/>
      <w:szCs w:val="40"/>
    </w:rPr>
  </w:style>
  <w:style w:type="paragraph" w:styleId="773">
    <w:name w:val="Heading 2"/>
    <w:basedOn w:val="940"/>
    <w:next w:val="940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basedOn w:val="941"/>
    <w:link w:val="773"/>
    <w:uiPriority w:val="9"/>
    <w:rPr>
      <w:rFonts w:ascii="Arial" w:hAnsi="Arial" w:eastAsia="Arial" w:cs="Arial"/>
      <w:sz w:val="34"/>
    </w:rPr>
  </w:style>
  <w:style w:type="paragraph" w:styleId="775">
    <w:name w:val="Heading 3"/>
    <w:basedOn w:val="940"/>
    <w:next w:val="940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6">
    <w:name w:val="Heading 3 Char"/>
    <w:basedOn w:val="941"/>
    <w:link w:val="775"/>
    <w:uiPriority w:val="9"/>
    <w:rPr>
      <w:rFonts w:ascii="Arial" w:hAnsi="Arial" w:eastAsia="Arial" w:cs="Arial"/>
      <w:sz w:val="30"/>
      <w:szCs w:val="30"/>
    </w:rPr>
  </w:style>
  <w:style w:type="paragraph" w:styleId="777">
    <w:name w:val="Heading 4"/>
    <w:basedOn w:val="940"/>
    <w:next w:val="940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basedOn w:val="941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0"/>
    <w:next w:val="940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basedOn w:val="941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0"/>
    <w:next w:val="940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basedOn w:val="941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0"/>
    <w:next w:val="940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basedOn w:val="941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0"/>
    <w:next w:val="940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basedOn w:val="941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0"/>
    <w:next w:val="940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basedOn w:val="941"/>
    <w:link w:val="787"/>
    <w:uiPriority w:val="9"/>
    <w:rPr>
      <w:rFonts w:ascii="Arial" w:hAnsi="Arial" w:eastAsia="Arial" w:cs="Arial"/>
      <w:i/>
      <w:iCs/>
      <w:sz w:val="21"/>
      <w:szCs w:val="21"/>
    </w:rPr>
  </w:style>
  <w:style w:type="character" w:styleId="789">
    <w:name w:val="Title Char"/>
    <w:basedOn w:val="941"/>
    <w:link w:val="944"/>
    <w:uiPriority w:val="10"/>
    <w:rPr>
      <w:sz w:val="48"/>
      <w:szCs w:val="48"/>
    </w:rPr>
  </w:style>
  <w:style w:type="paragraph" w:styleId="790">
    <w:name w:val="Subtitle"/>
    <w:basedOn w:val="940"/>
    <w:next w:val="940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>
    <w:name w:val="Subtitle Char"/>
    <w:basedOn w:val="941"/>
    <w:link w:val="790"/>
    <w:uiPriority w:val="11"/>
    <w:rPr>
      <w:sz w:val="24"/>
      <w:szCs w:val="24"/>
    </w:rPr>
  </w:style>
  <w:style w:type="paragraph" w:styleId="792">
    <w:name w:val="Quote"/>
    <w:basedOn w:val="940"/>
    <w:next w:val="940"/>
    <w:link w:val="793"/>
    <w:uiPriority w:val="29"/>
    <w:qFormat/>
    <w:pPr>
      <w:ind w:left="720" w:right="720"/>
    </w:pPr>
    <w:rPr>
      <w:i/>
    </w:rPr>
  </w:style>
  <w:style w:type="character" w:styleId="793">
    <w:name w:val="Quote Char"/>
    <w:link w:val="792"/>
    <w:uiPriority w:val="29"/>
    <w:rPr>
      <w:i/>
    </w:rPr>
  </w:style>
  <w:style w:type="paragraph" w:styleId="794">
    <w:name w:val="Intense Quote"/>
    <w:basedOn w:val="940"/>
    <w:next w:val="940"/>
    <w:link w:val="7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>
    <w:name w:val="Intense Quote Char"/>
    <w:link w:val="794"/>
    <w:uiPriority w:val="30"/>
    <w:rPr>
      <w:i/>
    </w:rPr>
  </w:style>
  <w:style w:type="character" w:styleId="796">
    <w:name w:val="Header Char"/>
    <w:basedOn w:val="941"/>
    <w:link w:val="948"/>
    <w:uiPriority w:val="99"/>
  </w:style>
  <w:style w:type="character" w:styleId="797">
    <w:name w:val="Footer Char"/>
    <w:basedOn w:val="941"/>
    <w:link w:val="953"/>
    <w:uiPriority w:val="99"/>
  </w:style>
  <w:style w:type="paragraph" w:styleId="798">
    <w:name w:val="Caption"/>
    <w:basedOn w:val="940"/>
    <w:next w:val="940"/>
    <w:link w:val="7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798"/>
    <w:link w:val="953"/>
    <w:uiPriority w:val="99"/>
  </w:style>
  <w:style w:type="table" w:styleId="800">
    <w:name w:val="Table Grid Light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9">
    <w:name w:val="List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0">
    <w:name w:val="List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1">
    <w:name w:val="List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2">
    <w:name w:val="List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3">
    <w:name w:val="List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4">
    <w:name w:val="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 &amp; 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Bordered &amp; 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Bordered &amp; 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Bordered &amp; 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Bordered &amp; 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Bordered &amp; 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0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1"/>
    <w:uiPriority w:val="99"/>
    <w:unhideWhenUsed/>
    <w:rPr>
      <w:vertAlign w:val="superscript"/>
    </w:rPr>
  </w:style>
  <w:style w:type="character" w:styleId="928">
    <w:name w:val="Endnote Text Char"/>
    <w:link w:val="966"/>
    <w:uiPriority w:val="99"/>
    <w:rPr>
      <w:sz w:val="20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paragraph" w:styleId="944">
    <w:name w:val="Title"/>
    <w:basedOn w:val="940"/>
    <w:link w:val="945"/>
    <w:qFormat/>
    <w:pPr>
      <w:jc w:val="center"/>
    </w:pPr>
    <w:rPr>
      <w:sz w:val="28"/>
    </w:rPr>
  </w:style>
  <w:style w:type="character" w:styleId="945" w:customStyle="1">
    <w:name w:val="Название Знак"/>
    <w:basedOn w:val="941"/>
    <w:link w:val="944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46">
    <w:name w:val="Body Text Indent"/>
    <w:basedOn w:val="940"/>
    <w:link w:val="947"/>
    <w:unhideWhenUsed/>
    <w:pPr>
      <w:ind w:left="900" w:hanging="900"/>
      <w:jc w:val="both"/>
      <w:spacing w:line="312" w:lineRule="auto"/>
    </w:pPr>
    <w:rPr>
      <w:b/>
      <w:sz w:val="28"/>
    </w:rPr>
  </w:style>
  <w:style w:type="character" w:styleId="947" w:customStyle="1">
    <w:name w:val="Основной текст с отступом Знак"/>
    <w:basedOn w:val="941"/>
    <w:link w:val="946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948">
    <w:name w:val="Header"/>
    <w:basedOn w:val="940"/>
    <w:link w:val="9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9" w:customStyle="1">
    <w:name w:val="Верхний колонтитул Знак"/>
    <w:basedOn w:val="94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>
    <w:name w:val="Body Text"/>
    <w:basedOn w:val="940"/>
    <w:link w:val="951"/>
    <w:uiPriority w:val="99"/>
    <w:unhideWhenUsed/>
    <w:pPr>
      <w:spacing w:after="120"/>
    </w:pPr>
  </w:style>
  <w:style w:type="character" w:styleId="951" w:customStyle="1">
    <w:name w:val="Основной текст Знак"/>
    <w:basedOn w:val="941"/>
    <w:link w:val="95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>
    <w:name w:val="List Paragraph"/>
    <w:basedOn w:val="940"/>
    <w:uiPriority w:val="34"/>
    <w:qFormat/>
    <w:pPr>
      <w:contextualSpacing/>
      <w:ind w:left="720"/>
    </w:pPr>
  </w:style>
  <w:style w:type="paragraph" w:styleId="953">
    <w:name w:val="Footer"/>
    <w:basedOn w:val="940"/>
    <w:link w:val="9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basedOn w:val="941"/>
    <w:link w:val="95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>
    <w:name w:val="Hyperlink"/>
    <w:basedOn w:val="941"/>
    <w:uiPriority w:val="99"/>
    <w:unhideWhenUsed/>
    <w:rPr>
      <w:color w:val="0000ff"/>
      <w:u w:val="single"/>
    </w:rPr>
  </w:style>
  <w:style w:type="character" w:styleId="956" w:customStyle="1">
    <w:name w:val="blk"/>
    <w:basedOn w:val="941"/>
  </w:style>
  <w:style w:type="paragraph" w:styleId="957">
    <w:name w:val="Balloon Text"/>
    <w:basedOn w:val="940"/>
    <w:link w:val="958"/>
    <w:uiPriority w:val="99"/>
    <w:semiHidden/>
    <w:unhideWhenUsed/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941"/>
    <w:link w:val="95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59" w:customStyle="1">
    <w:name w:val="oz_naimen"/>
    <w:basedOn w:val="941"/>
  </w:style>
  <w:style w:type="paragraph" w:styleId="960" w:customStyle="1">
    <w:name w:val="Default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961">
    <w:name w:val="No Spacing"/>
    <w:uiPriority w:val="1"/>
    <w:qFormat/>
    <w:pPr>
      <w:spacing w:after="0" w:line="240" w:lineRule="auto"/>
    </w:pPr>
  </w:style>
  <w:style w:type="character" w:styleId="962" w:customStyle="1">
    <w:name w:val="Колонтитул + 13 pt"/>
    <w:basedOn w:val="94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63" w:customStyle="1">
    <w:name w:val="Колонтитул"/>
    <w:basedOn w:val="94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5"/>
      <w:szCs w:val="15"/>
      <w:u w:val="none"/>
      <w:lang w:val="en-US" w:eastAsia="en-US" w:bidi="en-US"/>
    </w:rPr>
  </w:style>
  <w:style w:type="table" w:styleId="964">
    <w:name w:val="Table Grid"/>
    <w:basedOn w:val="9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5">
    <w:name w:val="FollowedHyperlink"/>
    <w:basedOn w:val="941"/>
    <w:uiPriority w:val="99"/>
    <w:semiHidden/>
    <w:unhideWhenUsed/>
    <w:rPr>
      <w:color w:val="800080" w:themeColor="followedHyperlink"/>
      <w:u w:val="single"/>
    </w:rPr>
  </w:style>
  <w:style w:type="paragraph" w:styleId="966">
    <w:name w:val="endnote text"/>
    <w:basedOn w:val="940"/>
    <w:link w:val="967"/>
    <w:uiPriority w:val="99"/>
    <w:semiHidden/>
    <w:unhideWhenUsed/>
    <w:rPr>
      <w:sz w:val="20"/>
      <w:szCs w:val="20"/>
    </w:rPr>
  </w:style>
  <w:style w:type="character" w:styleId="967" w:customStyle="1">
    <w:name w:val="Текст концевой сноски Знак"/>
    <w:basedOn w:val="941"/>
    <w:link w:val="96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8">
    <w:name w:val="endnote reference"/>
    <w:basedOn w:val="941"/>
    <w:uiPriority w:val="99"/>
    <w:semiHidden/>
    <w:unhideWhenUsed/>
    <w:rPr>
      <w:vertAlign w:val="superscript"/>
    </w:rPr>
  </w:style>
  <w:style w:type="paragraph" w:styleId="969" w:customStyle="1">
    <w:name w:val="Normal (Web)"/>
    <w:pPr>
      <w:contextualSpacing w:val="0"/>
      <w:ind w:left="0" w:right="0" w:firstLine="0"/>
      <w:jc w:val="left"/>
      <w:keepLines w:val="0"/>
      <w:keepNext w:val="0"/>
      <w:pageBreakBefore w:val="0"/>
      <w:spacing w:before="40" w:beforeAutospacing="0" w:after="4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332e2d"/>
      <w:spacing w:val="2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70" w:customStyle="1">
    <w:name w:val="Strong"/>
    <w:qFormat/>
    <w:rPr>
      <w:rFonts w:cs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rosnedra.gov.ru/about/open-agency/vedomstvennyy-plan/informatsiya-za-2023-god-o-khode-realizatsii-v-federalnom-agentstve-po-nedropolzovaniyu-printsipov-i/" TargetMode="External"/><Relationship Id="rId12" Type="http://schemas.openxmlformats.org/officeDocument/2006/relationships/hyperlink" Target="https://www.rosnedra.gov.ru/category/476.html?mm=720&amp;ml=717" TargetMode="External"/><Relationship Id="rId13" Type="http://schemas.openxmlformats.org/officeDocument/2006/relationships/hyperlink" Target="https://www.rosnedra.gov.ru/opendata" TargetMode="External"/><Relationship Id="rId14" Type="http://schemas.openxmlformats.org/officeDocument/2006/relationships/hyperlink" Target="https://rosnedra.gov.ru/press/news/priglashaem-prinyat-uchastie-v-oprose-o-deyatelnosti-federalnogo-agentstva-po-nedropolzovaniyu-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BE03B-C90F-4BAE-8D9E-1626E94B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evaluiskova</cp:lastModifiedBy>
  <cp:revision>11</cp:revision>
  <dcterms:created xsi:type="dcterms:W3CDTF">2022-11-22T11:46:00Z</dcterms:created>
  <dcterms:modified xsi:type="dcterms:W3CDTF">2026-02-27T08:14:46Z</dcterms:modified>
</cp:coreProperties>
</file>