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3"/>
        <w:spacing w:after="0" w:line="216" w:lineRule="auto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43"/>
        <w:spacing w:after="0" w:line="216" w:lineRule="auto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43"/>
        <w:spacing w:after="0" w:line="216" w:lineRule="auto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43"/>
        <w:spacing w:after="0" w:line="216" w:lineRule="auto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43"/>
        <w:spacing w:after="0" w:line="216" w:lineRule="auto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43"/>
        <w:spacing w:after="0" w:line="216" w:lineRule="auto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43"/>
        <w:spacing w:after="0" w:line="216" w:lineRule="auto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43"/>
        <w:spacing w:after="0" w:line="216" w:lineRule="auto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43"/>
        <w:spacing w:after="0" w:line="216" w:lineRule="auto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43"/>
        <w:spacing w:after="0" w:line="216" w:lineRule="auto"/>
        <w:rPr>
          <w:b/>
          <w:bCs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Style w:val="843"/>
        <w:spacing w:after="0" w:line="216" w:lineRule="auto"/>
        <w:rPr>
          <w:b/>
          <w:bCs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Style w:val="843"/>
        <w:jc w:val="left"/>
        <w:spacing w:after="0" w:line="216" w:lineRule="auto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43"/>
        <w:spacing w:after="0" w:line="21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</w:t>
      </w:r>
      <w:r>
        <w:rPr>
          <w:b/>
          <w:sz w:val="32"/>
          <w:szCs w:val="32"/>
        </w:rPr>
        <w:t xml:space="preserve">ротокол 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43"/>
        <w:spacing w:after="0" w:line="216" w:lineRule="auto"/>
        <w:rPr>
          <w:sz w:val="28"/>
        </w:rPr>
      </w:pPr>
      <w:r/>
      <w:bookmarkStart w:id="0" w:name="_GoBack"/>
      <w:r/>
      <w:bookmarkEnd w:id="0"/>
      <w:r>
        <w:rPr>
          <w:sz w:val="28"/>
          <w:szCs w:val="28"/>
        </w:rPr>
        <w:t xml:space="preserve">заочного </w:t>
      </w:r>
      <w:r>
        <w:rPr>
          <w:sz w:val="28"/>
          <w:szCs w:val="28"/>
        </w:rPr>
        <w:t xml:space="preserve">голосования членов </w:t>
      </w:r>
      <w:r>
        <w:rPr>
          <w:sz w:val="28"/>
        </w:rPr>
        <w:t xml:space="preserve">Общественн</w:t>
      </w:r>
      <w:r>
        <w:rPr>
          <w:sz w:val="28"/>
        </w:rPr>
        <w:t xml:space="preserve">ого</w:t>
      </w:r>
      <w:r>
        <w:rPr>
          <w:sz w:val="28"/>
        </w:rPr>
        <w:t xml:space="preserve"> совет</w:t>
      </w:r>
      <w:r>
        <w:rPr>
          <w:sz w:val="28"/>
        </w:rPr>
        <w:t xml:space="preserve">а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Style w:val="843"/>
        <w:spacing w:after="0" w:line="216" w:lineRule="auto"/>
        <w:rPr>
          <w:sz w:val="28"/>
        </w:rPr>
      </w:pPr>
      <w:r>
        <w:rPr>
          <w:sz w:val="28"/>
        </w:rPr>
        <w:t xml:space="preserve">при Федеральном агентстве по недропользованию</w:t>
      </w:r>
      <w:r>
        <w:rPr>
          <w:sz w:val="28"/>
        </w:rPr>
      </w:r>
      <w:r>
        <w:rPr>
          <w:sz w:val="28"/>
        </w:rPr>
      </w:r>
    </w:p>
    <w:p>
      <w:pPr>
        <w:spacing w:after="0" w:line="216" w:lineRule="auto"/>
      </w:pPr>
      <w:r/>
      <w:r/>
    </w:p>
    <w:p>
      <w:pPr>
        <w:jc w:val="both"/>
        <w:spacing w:after="0" w:line="21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Основание принятия решений по вопросам повестки дня заочным голосованием членов Общественного совета при Роснедрах</w:t>
      </w:r>
      <w:r>
        <w:rPr>
          <w:sz w:val="28"/>
          <w:szCs w:val="28"/>
        </w:rPr>
        <w:t xml:space="preserve"> – п. 4.8. Положения об Общественном совете при Федеральном агентстве по недропользованию, утвержденного приказом Роснедр от 24.10.2024 № 634, письмо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агентства по недропользованию от 20.11.2024 № ДД-05-30/28399.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 w:line="216" w:lineRule="auto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Общее число членов Общественного совета при Роснедрах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24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after="0" w:line="216" w:lineRule="auto"/>
        <w:rPr>
          <w:color w:val="ff0000"/>
          <w:sz w:val="28"/>
          <w:szCs w:val="28"/>
        </w:rPr>
      </w:pPr>
      <w:r>
        <w:rPr>
          <w:i/>
          <w:sz w:val="28"/>
          <w:szCs w:val="28"/>
        </w:rPr>
        <w:t xml:space="preserve">Количество голосовавших членов Общественного совета при Роснедрах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14</w:t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jc w:val="both"/>
        <w:spacing w:after="0"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Грызунова Н.В., Дронова М.М., Керимов В.Ю., Коваленко А.А., Нестеренко В.Г., Петросян Р.Д., Пинчук А.В., Подопригора В.Н., Сердюк М.И., Сорокина Н.Ю., Твердохлебов Л.И., Токарев М.Ю., Федаш А.В., Черкасов С.В..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 w:line="21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Кворум для </w:t>
      </w:r>
      <w:r>
        <w:rPr>
          <w:sz w:val="28"/>
          <w:szCs w:val="28"/>
        </w:rPr>
        <w:t xml:space="preserve">принятия решения заочным голосованием</w:t>
      </w:r>
      <w:r>
        <w:rPr>
          <w:sz w:val="28"/>
          <w:szCs w:val="28"/>
        </w:rPr>
        <w:t xml:space="preserve"> по вопрос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повестки дня имеется.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9"/>
        <w:jc w:val="both"/>
        <w:spacing w:before="0" w:after="0" w:line="216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Style w:val="850"/>
          <w:rFonts w:ascii="Times New Roman" w:hAnsi="Times New Roman"/>
          <w:color w:val="auto"/>
          <w:sz w:val="28"/>
          <w:szCs w:val="28"/>
        </w:rPr>
        <w:tab/>
      </w:r>
      <w:r>
        <w:rPr>
          <w:rStyle w:val="850"/>
          <w:rFonts w:ascii="Times New Roman" w:hAnsi="Times New Roman"/>
          <w:color w:val="auto"/>
          <w:sz w:val="28"/>
          <w:szCs w:val="28"/>
        </w:rPr>
        <w:t xml:space="preserve">Вопрос </w:t>
      </w:r>
      <w:r>
        <w:rPr>
          <w:rStyle w:val="850"/>
          <w:rFonts w:ascii="Times New Roman" w:hAnsi="Times New Roman"/>
          <w:color w:val="auto"/>
          <w:sz w:val="28"/>
          <w:szCs w:val="28"/>
        </w:rPr>
        <w:t xml:space="preserve">заочного голосования</w:t>
      </w:r>
      <w:r>
        <w:rPr>
          <w:rStyle w:val="850"/>
          <w:rFonts w:ascii="Times New Roman" w:hAnsi="Times New Roman"/>
          <w:color w:val="auto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ассмотрение проекта Доклада </w:t>
      </w:r>
      <w:r>
        <w:rPr>
          <w:rFonts w:ascii="Times New Roman" w:hAnsi="Times New Roman" w:cs="Times New Roman"/>
          <w:sz w:val="28"/>
          <w:szCs w:val="28"/>
        </w:rPr>
        <w:t xml:space="preserve">об антимонопольном комплаенсе Федерального агентства по недропользованию за 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Плана мероприятий («дорожной карты») по снижению комплаенс-рисков Федерального агентства по недропользованию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hAnsi="Times New Roman" w:cs="Times New Roman"/>
          <w:sz w:val="28"/>
          <w:szCs w:val="28"/>
        </w:rPr>
        <w:t xml:space="preserve">год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pStyle w:val="849"/>
        <w:jc w:val="both"/>
        <w:spacing w:before="0" w:after="0" w:line="216" w:lineRule="auto"/>
        <w:tabs>
          <w:tab w:val="left" w:pos="0" w:leader="none"/>
        </w:tabs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Предложено: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pStyle w:val="849"/>
        <w:numPr>
          <w:ilvl w:val="0"/>
          <w:numId w:val="9"/>
        </w:numPr>
        <w:ind w:left="0" w:firstLine="709"/>
        <w:jc w:val="both"/>
        <w:spacing w:before="0" w:after="0" w:line="216" w:lineRule="auto"/>
        <w:tabs>
          <w:tab w:val="left" w:pos="0" w:leader="none"/>
        </w:tabs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Утвердить </w:t>
      </w:r>
      <w:r>
        <w:rPr>
          <w:rFonts w:ascii="Times New Roman" w:hAnsi="Times New Roman" w:eastAsia="Batang" w:cs="Times New Roman"/>
          <w:bCs/>
          <w:sz w:val="28"/>
          <w:szCs w:val="28"/>
          <w:lang w:eastAsia="en-US"/>
        </w:rPr>
        <w:t xml:space="preserve">Доклад </w:t>
      </w:r>
      <w:r>
        <w:rPr>
          <w:rFonts w:ascii="Times New Roman" w:hAnsi="Times New Roman" w:cs="Times New Roman"/>
          <w:sz w:val="28"/>
          <w:szCs w:val="28"/>
        </w:rPr>
        <w:t xml:space="preserve">об антимонопольном комплаенсе Федерального агентства по недропользованию за 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Cs/>
          <w:color w:val="auto"/>
          <w:sz w:val="28"/>
          <w:szCs w:val="28"/>
        </w:rPr>
      </w:r>
    </w:p>
    <w:p>
      <w:pPr>
        <w:pStyle w:val="849"/>
        <w:numPr>
          <w:ilvl w:val="0"/>
          <w:numId w:val="9"/>
        </w:numPr>
        <w:ind w:left="0" w:firstLine="709"/>
        <w:jc w:val="both"/>
        <w:spacing w:before="0" w:after="0" w:line="216" w:lineRule="auto"/>
        <w:tabs>
          <w:tab w:val="left" w:pos="0" w:leader="none"/>
        </w:tabs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>
        <w:rPr>
          <w:rFonts w:ascii="Times New Roman" w:hAnsi="Times New Roman" w:cs="Times New Roman"/>
          <w:sz w:val="28"/>
          <w:szCs w:val="28"/>
        </w:rPr>
        <w:t xml:space="preserve">Плана мероприятий («дорожной карты») по снижению комплаенс-рисков Федерального агентства по недропользованию на 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Cs/>
          <w:color w:val="auto"/>
          <w:sz w:val="28"/>
          <w:szCs w:val="28"/>
        </w:rPr>
      </w:r>
    </w:p>
    <w:p>
      <w:pPr>
        <w:pStyle w:val="849"/>
        <w:jc w:val="both"/>
        <w:spacing w:before="0" w:after="0" w:line="216" w:lineRule="auto"/>
        <w:tabs>
          <w:tab w:val="left" w:pos="851" w:leader="none"/>
        </w:tabs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 xml:space="preserve">Голосовали: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pStyle w:val="849"/>
        <w:jc w:val="both"/>
        <w:spacing w:before="0" w:after="0" w:line="216" w:lineRule="auto"/>
        <w:tabs>
          <w:tab w:val="left" w:pos="851" w:leader="none"/>
        </w:tabs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color w:val="auto"/>
        </w:rPr>
        <w:t xml:space="preserve">«ЗА» </w:t>
      </w:r>
      <w:r>
        <w:rPr>
          <w:rFonts w:ascii="Times New Roman" w:hAnsi="Times New Roman" w:cs="Times New Roman"/>
          <w:bCs/>
          <w:i/>
          <w:color w:val="auto"/>
        </w:rPr>
        <w:t xml:space="preserve">14</w:t>
      </w:r>
      <w:r>
        <w:rPr>
          <w:rFonts w:ascii="Times New Roman" w:hAnsi="Times New Roman" w:cs="Times New Roman"/>
          <w:bCs/>
          <w:i/>
          <w:color w:val="auto"/>
        </w:rPr>
      </w:r>
      <w:r>
        <w:rPr>
          <w:rFonts w:ascii="Times New Roman" w:hAnsi="Times New Roman" w:cs="Times New Roman"/>
          <w:bCs/>
          <w:i/>
          <w:color w:val="auto"/>
        </w:rPr>
      </w:r>
    </w:p>
    <w:p>
      <w:pPr>
        <w:pStyle w:val="849"/>
        <w:jc w:val="both"/>
        <w:spacing w:before="0" w:after="0" w:line="216" w:lineRule="auto"/>
        <w:tabs>
          <w:tab w:val="left" w:pos="851" w:leader="none"/>
        </w:tabs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</w:rPr>
        <w:tab/>
        <w:t xml:space="preserve">«ПРОТИВ» </w:t>
      </w:r>
      <w:r>
        <w:rPr>
          <w:rFonts w:ascii="Times New Roman" w:hAnsi="Times New Roman" w:cs="Times New Roman"/>
          <w:bCs/>
          <w:i/>
          <w:color w:val="auto"/>
        </w:rPr>
        <w:t xml:space="preserve">0</w:t>
      </w:r>
      <w:r>
        <w:rPr>
          <w:rFonts w:ascii="Times New Roman" w:hAnsi="Times New Roman" w:cs="Times New Roman"/>
          <w:bCs/>
          <w:i/>
          <w:color w:val="auto"/>
        </w:rPr>
        <w:t xml:space="preserve"> </w:t>
      </w:r>
      <w:r>
        <w:rPr>
          <w:rFonts w:ascii="Times New Roman" w:hAnsi="Times New Roman" w:cs="Times New Roman"/>
          <w:bCs/>
          <w:i/>
          <w:color w:val="auto"/>
        </w:rPr>
      </w:r>
      <w:r>
        <w:rPr>
          <w:rFonts w:ascii="Times New Roman" w:hAnsi="Times New Roman" w:cs="Times New Roman"/>
          <w:bCs/>
          <w:i/>
          <w:color w:val="auto"/>
        </w:rPr>
      </w:r>
    </w:p>
    <w:p>
      <w:pPr>
        <w:pStyle w:val="849"/>
        <w:jc w:val="both"/>
        <w:spacing w:before="0" w:after="0" w:line="216" w:lineRule="auto"/>
        <w:tabs>
          <w:tab w:val="left" w:pos="851" w:leader="none"/>
        </w:tabs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</w:rPr>
        <w:tab/>
        <w:t xml:space="preserve">«ВОЗДЕРЖАЛИСЬ» </w:t>
      </w:r>
      <w:r>
        <w:rPr>
          <w:rFonts w:ascii="Times New Roman" w:hAnsi="Times New Roman" w:cs="Times New Roman"/>
          <w:bCs/>
          <w:i/>
          <w:color w:val="auto"/>
        </w:rPr>
        <w:t xml:space="preserve">0</w:t>
      </w:r>
      <w:r>
        <w:rPr>
          <w:rFonts w:ascii="Times New Roman" w:hAnsi="Times New Roman" w:cs="Times New Roman"/>
          <w:bCs/>
          <w:i/>
          <w:color w:val="auto"/>
        </w:rPr>
      </w:r>
      <w:r>
        <w:rPr>
          <w:rFonts w:ascii="Times New Roman" w:hAnsi="Times New Roman" w:cs="Times New Roman"/>
          <w:bCs/>
          <w:i/>
          <w:color w:val="auto"/>
        </w:rPr>
      </w:r>
    </w:p>
    <w:p>
      <w:pPr>
        <w:pStyle w:val="849"/>
        <w:jc w:val="both"/>
        <w:spacing w:before="0" w:after="0" w:line="216" w:lineRule="auto"/>
        <w:tabs>
          <w:tab w:val="left" w:pos="851" w:leader="none"/>
        </w:tabs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Принято р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еш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ение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: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Cs/>
          <w:color w:val="auto"/>
          <w:sz w:val="28"/>
          <w:szCs w:val="28"/>
        </w:rPr>
      </w:r>
    </w:p>
    <w:p>
      <w:pPr>
        <w:pStyle w:val="849"/>
        <w:jc w:val="both"/>
        <w:spacing w:after="0" w:line="216" w:lineRule="auto"/>
        <w:tabs>
          <w:tab w:val="left" w:pos="851" w:leader="none"/>
        </w:tabs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Утвердить Доклад об антимонопольном комплаенсе Федерального агентства по недропользованию за 202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год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Cs/>
          <w:color w:val="auto"/>
          <w:sz w:val="28"/>
          <w:szCs w:val="28"/>
        </w:rPr>
      </w:r>
    </w:p>
    <w:p>
      <w:pPr>
        <w:pStyle w:val="849"/>
        <w:jc w:val="both"/>
        <w:spacing w:before="0" w:after="0" w:line="216" w:lineRule="auto"/>
        <w:tabs>
          <w:tab w:val="left" w:pos="851" w:leader="none"/>
        </w:tabs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292443</wp:posOffset>
                </wp:positionV>
                <wp:extent cx="1365250" cy="824230"/>
                <wp:effectExtent l="0" t="0" r="0" b="0"/>
                <wp:wrapNone/>
                <wp:docPr id="1" name="Рисунок 11" descr="IMG_9190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3575461" name="Рисунок 11" descr="IMG_9190 (1)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clrChange>
                            <a:clrFrom>
                              <a:srgbClr val="CDCBCE"/>
                            </a:clrFrom>
                            <a:clrTo>
                              <a:srgbClr val="CDCBCE">
                                <a:alpha val="0"/>
                              </a:srgbClr>
                            </a:clrTo>
                          </a:clrChange>
                        </a:blip>
                        <a:srcRect l="64147" t="26767" r="3069" b="39285"/>
                        <a:stretch/>
                      </pic:blipFill>
                      <pic:spPr bwMode="auto">
                        <a:xfrm rot="0" flipH="0" flipV="0">
                          <a:off x="0" y="0"/>
                          <a:ext cx="1365249" cy="8242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196.95pt;mso-position-horizontal:absolute;mso-position-vertical-relative:text;margin-top:23.03pt;mso-position-vertical:absolute;width:107.50pt;height:64.90pt;mso-wrap-distance-left:9.00pt;mso-wrap-distance-top:0.00pt;mso-wrap-distance-right:9.00pt;mso-wrap-distance-bottom:0.00pt;rotation:0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Одобрить проект Плана мероприятий («дорожной карты») по снижению комплаенс-рисков Федерального агентства по недропользованию на 202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849"/>
        <w:jc w:val="both"/>
        <w:spacing w:before="0" w:after="0" w:line="216" w:lineRule="auto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>
        <w:rPr>
          <w:rFonts w:ascii="Times New Roman" w:hAnsi="Times New Roman" w:cs="Times New Roman"/>
          <w:sz w:val="28"/>
          <w:szCs w:val="28"/>
        </w:rPr>
        <w:t xml:space="preserve">Председатель</w:t>
        <w:tab/>
        <w:tab/>
        <w:tab/>
        <w:tab/>
        <w:tab/>
        <w:tab/>
        <w:tab/>
        <w:tab/>
        <w:tab/>
      </w:r>
      <w:r/>
      <w:r/>
      <w:r/>
      <w:r>
        <w:rPr>
          <w:rFonts w:ascii="Times New Roman" w:hAnsi="Times New Roman" w:cs="Times New Roman"/>
          <w:sz w:val="28"/>
          <w:szCs w:val="28"/>
        </w:rPr>
        <w:t xml:space="preserve">М.Ю. Токарев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  <w:r/>
    </w:p>
    <w:p>
      <w:pPr>
        <w:pStyle w:val="849"/>
        <w:ind w:left="426"/>
        <w:jc w:val="both"/>
        <w:spacing w:before="0"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ind w:left="426"/>
        <w:jc w:val="both"/>
        <w:spacing w:before="0"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continuous"/>
      <w:pgSz w:w="11907" w:h="16839" w:orient="portrait"/>
      <w:pgMar w:top="709" w:right="708" w:bottom="851" w:left="127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/>
      </w:pPr>
      <w:r>
        <w:separator/>
      </w:r>
      <w:r/>
    </w:p>
  </w:endnote>
  <w:endnote w:type="continuationSeparator" w:id="0">
    <w:p>
      <w:pPr>
        <w:spacing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panose1 w:val="0200050600000002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  <w:rPr>
        <w:b/>
      </w:r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67" w:hanging="90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1">
    <w:name w:val="Heading 1 Char"/>
    <w:basedOn w:val="845"/>
    <w:link w:val="842"/>
    <w:uiPriority w:val="9"/>
    <w:rPr>
      <w:rFonts w:ascii="Arial" w:hAnsi="Arial" w:eastAsia="Arial" w:cs="Arial"/>
      <w:sz w:val="40"/>
      <w:szCs w:val="40"/>
    </w:rPr>
  </w:style>
  <w:style w:type="character" w:styleId="672">
    <w:name w:val="Heading 2 Char"/>
    <w:basedOn w:val="845"/>
    <w:link w:val="843"/>
    <w:uiPriority w:val="9"/>
    <w:rPr>
      <w:rFonts w:ascii="Arial" w:hAnsi="Arial" w:eastAsia="Arial" w:cs="Arial"/>
      <w:sz w:val="34"/>
    </w:rPr>
  </w:style>
  <w:style w:type="character" w:styleId="673">
    <w:name w:val="Heading 3 Char"/>
    <w:basedOn w:val="845"/>
    <w:link w:val="844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1"/>
    <w:next w:val="841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5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1"/>
    <w:next w:val="841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5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1"/>
    <w:next w:val="841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5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1"/>
    <w:next w:val="841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5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1"/>
    <w:next w:val="841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5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1"/>
    <w:next w:val="841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5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Title"/>
    <w:basedOn w:val="841"/>
    <w:next w:val="841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basedOn w:val="845"/>
    <w:link w:val="686"/>
    <w:uiPriority w:val="10"/>
    <w:rPr>
      <w:sz w:val="48"/>
      <w:szCs w:val="48"/>
    </w:rPr>
  </w:style>
  <w:style w:type="paragraph" w:styleId="688">
    <w:name w:val="Subtitle"/>
    <w:basedOn w:val="841"/>
    <w:next w:val="841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basedOn w:val="845"/>
    <w:link w:val="688"/>
    <w:uiPriority w:val="11"/>
    <w:rPr>
      <w:sz w:val="24"/>
      <w:szCs w:val="24"/>
    </w:rPr>
  </w:style>
  <w:style w:type="paragraph" w:styleId="690">
    <w:name w:val="Quote"/>
    <w:basedOn w:val="841"/>
    <w:next w:val="841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1"/>
    <w:next w:val="841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character" w:styleId="694">
    <w:name w:val="Header Char"/>
    <w:basedOn w:val="845"/>
    <w:link w:val="856"/>
    <w:uiPriority w:val="99"/>
  </w:style>
  <w:style w:type="character" w:styleId="695">
    <w:name w:val="Footer Char"/>
    <w:basedOn w:val="845"/>
    <w:link w:val="858"/>
    <w:uiPriority w:val="99"/>
  </w:style>
  <w:style w:type="paragraph" w:styleId="696">
    <w:name w:val="Caption"/>
    <w:basedOn w:val="841"/>
    <w:next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858"/>
    <w:uiPriority w:val="99"/>
  </w:style>
  <w:style w:type="table" w:styleId="698">
    <w:name w:val="Table Grid Light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7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9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1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2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3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4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2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3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4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5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6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7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8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9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0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1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2">
    <w:name w:val="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 &amp; 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Bordered &amp; 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Bordered &amp; 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Bordered &amp; 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Bordered &amp; 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Bordered &amp; 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3">
    <w:name w:val="Hyperlink"/>
    <w:uiPriority w:val="99"/>
    <w:unhideWhenUsed/>
    <w:rPr>
      <w:color w:val="0000ff" w:themeColor="hyperlink"/>
      <w:u w:val="single"/>
    </w:rPr>
  </w:style>
  <w:style w:type="paragraph" w:styleId="824">
    <w:name w:val="footnote text"/>
    <w:basedOn w:val="841"/>
    <w:link w:val="825"/>
    <w:uiPriority w:val="99"/>
    <w:semiHidden/>
    <w:unhideWhenUsed/>
    <w:pPr>
      <w:spacing w:after="40" w:line="240" w:lineRule="auto"/>
    </w:pPr>
    <w:rPr>
      <w:sz w:val="18"/>
    </w:rPr>
  </w:style>
  <w:style w:type="character" w:styleId="825">
    <w:name w:val="Footnote Text Char"/>
    <w:link w:val="824"/>
    <w:uiPriority w:val="99"/>
    <w:rPr>
      <w:sz w:val="18"/>
    </w:rPr>
  </w:style>
  <w:style w:type="character" w:styleId="826">
    <w:name w:val="footnote reference"/>
    <w:basedOn w:val="845"/>
    <w:uiPriority w:val="99"/>
    <w:unhideWhenUsed/>
    <w:rPr>
      <w:vertAlign w:val="superscript"/>
    </w:rPr>
  </w:style>
  <w:style w:type="paragraph" w:styleId="827">
    <w:name w:val="endnote text"/>
    <w:basedOn w:val="841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>
    <w:name w:val="Endnote Text Char"/>
    <w:link w:val="827"/>
    <w:uiPriority w:val="99"/>
    <w:rPr>
      <w:sz w:val="20"/>
    </w:rPr>
  </w:style>
  <w:style w:type="character" w:styleId="829">
    <w:name w:val="endnote reference"/>
    <w:basedOn w:val="845"/>
    <w:uiPriority w:val="99"/>
    <w:semiHidden/>
    <w:unhideWhenUsed/>
    <w:rPr>
      <w:vertAlign w:val="superscript"/>
    </w:rPr>
  </w:style>
  <w:style w:type="paragraph" w:styleId="830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qFormat/>
    <w:pPr>
      <w:spacing w:after="240"/>
    </w:pPr>
    <w:rPr>
      <w:sz w:val="24"/>
      <w:szCs w:val="24"/>
    </w:rPr>
  </w:style>
  <w:style w:type="paragraph" w:styleId="842">
    <w:name w:val="Heading 1"/>
    <w:basedOn w:val="841"/>
    <w:next w:val="841"/>
    <w:qFormat/>
    <w:pPr>
      <w:jc w:val="center"/>
      <w:outlineLvl w:val="0"/>
    </w:pPr>
    <w:rPr>
      <w:b/>
      <w:bCs/>
    </w:rPr>
  </w:style>
  <w:style w:type="paragraph" w:styleId="843">
    <w:name w:val="Heading 2"/>
    <w:basedOn w:val="841"/>
    <w:next w:val="841"/>
    <w:qFormat/>
    <w:pPr>
      <w:jc w:val="center"/>
      <w:spacing w:after="360"/>
      <w:outlineLvl w:val="1"/>
    </w:pPr>
  </w:style>
  <w:style w:type="paragraph" w:styleId="844">
    <w:name w:val="Heading 3"/>
    <w:basedOn w:val="841"/>
    <w:next w:val="841"/>
    <w:qFormat/>
    <w:pPr>
      <w:keepNext/>
      <w:outlineLvl w:val="2"/>
    </w:pPr>
    <w:rPr>
      <w:b/>
      <w:bCs/>
    </w:rPr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paragraph" w:styleId="848" w:customStyle="1">
    <w:name w:val="Names"/>
    <w:basedOn w:val="841"/>
    <w:pPr>
      <w:spacing w:before="240"/>
      <w:tabs>
        <w:tab w:val="left" w:pos="3960" w:leader="none"/>
      </w:tabs>
    </w:pPr>
    <w:rPr>
      <w:lang w:bidi="ru-RU"/>
    </w:rPr>
  </w:style>
  <w:style w:type="paragraph" w:styleId="849">
    <w:name w:val="Normal (Web)"/>
    <w:basedOn w:val="841"/>
    <w:pPr>
      <w:spacing w:before="40" w:after="40"/>
    </w:pPr>
    <w:rPr>
      <w:rFonts w:ascii="Arial" w:hAnsi="Arial" w:cs="Arial"/>
      <w:color w:val="332e2d"/>
      <w:spacing w:val="2"/>
    </w:rPr>
  </w:style>
  <w:style w:type="character" w:styleId="850">
    <w:name w:val="Strong"/>
    <w:qFormat/>
    <w:rPr>
      <w:rFonts w:cs="Times New Roman"/>
      <w:b/>
      <w:bCs/>
    </w:rPr>
  </w:style>
  <w:style w:type="paragraph" w:styleId="851">
    <w:name w:val="List Paragraph"/>
    <w:basedOn w:val="841"/>
    <w:uiPriority w:val="34"/>
    <w:qFormat/>
    <w:pPr>
      <w:ind w:left="708"/>
      <w:spacing w:after="0"/>
    </w:pPr>
    <w:rPr>
      <w:lang w:val="en-US" w:eastAsia="en-US"/>
    </w:rPr>
  </w:style>
  <w:style w:type="table" w:styleId="852">
    <w:name w:val="Table Grid"/>
    <w:basedOn w:val="846"/>
    <w:pPr>
      <w:ind w:firstLine="397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3">
    <w:name w:val="No Spacing"/>
    <w:uiPriority w:val="1"/>
    <w:qFormat/>
    <w:rPr>
      <w:sz w:val="24"/>
      <w:szCs w:val="24"/>
    </w:rPr>
  </w:style>
  <w:style w:type="paragraph" w:styleId="854">
    <w:name w:val="Balloon Text"/>
    <w:basedOn w:val="841"/>
    <w:link w:val="855"/>
    <w:pPr>
      <w:spacing w:after="0"/>
    </w:pPr>
    <w:rPr>
      <w:rFonts w:ascii="Tahoma" w:hAnsi="Tahoma" w:cs="Tahoma"/>
      <w:sz w:val="16"/>
      <w:szCs w:val="16"/>
    </w:rPr>
  </w:style>
  <w:style w:type="character" w:styleId="855" w:customStyle="1">
    <w:name w:val="Текст выноски Знак"/>
    <w:basedOn w:val="845"/>
    <w:link w:val="854"/>
    <w:rPr>
      <w:rFonts w:ascii="Tahoma" w:hAnsi="Tahoma" w:cs="Tahoma"/>
      <w:sz w:val="16"/>
      <w:szCs w:val="16"/>
    </w:rPr>
  </w:style>
  <w:style w:type="paragraph" w:styleId="856">
    <w:name w:val="Header"/>
    <w:basedOn w:val="841"/>
    <w:link w:val="857"/>
    <w:pPr>
      <w:spacing w:after="0"/>
      <w:tabs>
        <w:tab w:val="center" w:pos="4677" w:leader="none"/>
        <w:tab w:val="right" w:pos="9355" w:leader="none"/>
      </w:tabs>
    </w:pPr>
  </w:style>
  <w:style w:type="character" w:styleId="857" w:customStyle="1">
    <w:name w:val="Верхний колонтитул Знак"/>
    <w:basedOn w:val="845"/>
    <w:link w:val="856"/>
    <w:rPr>
      <w:sz w:val="24"/>
      <w:szCs w:val="24"/>
    </w:rPr>
  </w:style>
  <w:style w:type="paragraph" w:styleId="858">
    <w:name w:val="Footer"/>
    <w:basedOn w:val="841"/>
    <w:link w:val="859"/>
    <w:pPr>
      <w:spacing w:after="0"/>
      <w:tabs>
        <w:tab w:val="center" w:pos="4677" w:leader="none"/>
        <w:tab w:val="right" w:pos="9355" w:leader="none"/>
      </w:tabs>
    </w:pPr>
  </w:style>
  <w:style w:type="character" w:styleId="859" w:customStyle="1">
    <w:name w:val="Нижний колонтитул Знак"/>
    <w:basedOn w:val="845"/>
    <w:link w:val="858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39BC7-2642-4A06-8FC7-19696167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Microsoft Corporation</Company>
  <DocSecurity>0</DocSecurity>
  <HyperlinksChanged>false</HyperlinksChanged>
  <LinksUpToDate>false</LinksUpToDate>
  <ScaleCrop>false</ScaleCrop>
  <SharedDoc>false</SharedDoc>
  <Template>Протокол собрания организации.dot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Минькова Оксана Владимировна</dc:creator>
  <cp:revision>5</cp:revision>
  <dcterms:created xsi:type="dcterms:W3CDTF">2022-12-23T12:38:00Z</dcterms:created>
  <dcterms:modified xsi:type="dcterms:W3CDTF">2025-02-27T10:55:48Z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TC010184131049</vt:lpwstr>
  </property>
</Properties>
</file>