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08.07.2013 N 613</w:t>
              <w:br/>
              <w:t xml:space="preserve">(ред. от 31.12.2025)</w:t>
              <w:br/>
              <w:t xml:space="preserve">"Вопросы противодействия коррупции"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8 июля 2013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613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ВОПРОСЫ ПРОТИВОДЕЙСТВИЯ КОРРУПЦИИ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03.12.2013 </w:t>
            </w:r>
            <w:r>
              <w:rPr>
                <w:color w:val="392c69"/>
                <w:sz w:val="24"/>
              </w:rPr>
              <w:t xml:space="preserve">N 878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23.06.2014 </w:t>
            </w:r>
            <w:r>
              <w:rPr>
                <w:color w:val="392c69"/>
                <w:sz w:val="24"/>
              </w:rPr>
              <w:t xml:space="preserve">N 453</w:t>
            </w:r>
            <w:r>
              <w:rPr>
                <w:color w:val="392c69"/>
                <w:sz w:val="24"/>
              </w:rPr>
              <w:t xml:space="preserve">, от 15.07.2015 </w:t>
            </w:r>
            <w:r>
              <w:rPr>
                <w:color w:val="392c69"/>
                <w:sz w:val="24"/>
              </w:rPr>
              <w:t xml:space="preserve">N 364</w:t>
            </w:r>
            <w:r>
              <w:rPr>
                <w:color w:val="392c69"/>
                <w:sz w:val="24"/>
              </w:rPr>
              <w:t xml:space="preserve">, от 10.12.2020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27.06.2022 </w:t>
            </w:r>
            <w:r>
              <w:rPr>
                <w:color w:val="392c69"/>
                <w:sz w:val="24"/>
              </w:rPr>
              <w:t xml:space="preserve">N 404</w:t>
            </w:r>
            <w:r>
              <w:rPr>
                <w:color w:val="392c69"/>
                <w:sz w:val="24"/>
              </w:rPr>
              <w:t xml:space="preserve">, от 25.08.2022 </w:t>
            </w:r>
            <w:r>
              <w:rPr>
                <w:color w:val="392c69"/>
                <w:sz w:val="24"/>
              </w:rPr>
              <w:t xml:space="preserve">N 574</w:t>
            </w:r>
            <w:r>
              <w:rPr>
                <w:color w:val="392c69"/>
                <w:sz w:val="24"/>
              </w:rPr>
              <w:t xml:space="preserve">, от 26.06.2023 </w:t>
            </w:r>
            <w:r>
              <w:rPr>
                <w:color w:val="392c69"/>
                <w:sz w:val="24"/>
              </w:rPr>
              <w:t xml:space="preserve">N 474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26.10.2023 </w:t>
            </w:r>
            <w:r>
              <w:rPr>
                <w:color w:val="392c69"/>
                <w:sz w:val="24"/>
              </w:rPr>
              <w:t xml:space="preserve">N 811</w:t>
            </w:r>
            <w:r>
              <w:rPr>
                <w:color w:val="392c69"/>
                <w:sz w:val="24"/>
              </w:rPr>
              <w:t xml:space="preserve">, от 31.12.2025 </w:t>
            </w:r>
            <w:r>
              <w:rPr>
                <w:color w:val="392c69"/>
                <w:sz w:val="24"/>
              </w:rPr>
              <w:t xml:space="preserve">N 1009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r>
        <w:rPr>
          <w:sz w:val="24"/>
        </w:rPr>
        <w:t xml:space="preserve">дополнив</w:t>
      </w:r>
      <w:r>
        <w:rPr>
          <w:sz w:val="24"/>
        </w:rPr>
        <w:t xml:space="preserve"> его пунктом 4.1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пункте 1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абзаца пятого</w:t>
      </w:r>
      <w:r>
        <w:rPr>
          <w:sz w:val="24"/>
        </w:rP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абзаца шестого</w:t>
      </w:r>
      <w:r>
        <w:rPr>
          <w:sz w:val="24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"б"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абзаца второго</w:t>
      </w:r>
      <w:r>
        <w:rPr>
          <w:sz w:val="24"/>
        </w:rP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абзаца третьего</w:t>
      </w:r>
      <w:r>
        <w:rPr>
          <w:sz w:val="24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подпунктов "г"</w:t>
      </w:r>
      <w:r>
        <w:rPr>
          <w:sz w:val="24"/>
        </w:rPr>
        <w:t xml:space="preserve"> и </w:t>
      </w:r>
      <w:r>
        <w:rPr>
          <w:sz w:val="24"/>
        </w:rPr>
        <w:t xml:space="preserve">"д"</w:t>
      </w:r>
      <w:r>
        <w:rPr>
          <w:sz w:val="24"/>
        </w:rP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пункт 10</w:t>
      </w:r>
      <w:r>
        <w:rPr>
          <w:sz w:val="24"/>
        </w:rP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 </w:t>
      </w:r>
      <w:r>
        <w:rPr>
          <w:sz w:val="24"/>
        </w:rPr>
        <w:t xml:space="preserve">пункте 20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подпункта "а"</w:t>
      </w:r>
      <w:r>
        <w:rPr>
          <w:sz w:val="24"/>
        </w:rPr>
        <w:t xml:space="preserve"> слова "граждан и"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абзацев второго</w:t>
      </w:r>
      <w:r>
        <w:rPr>
          <w:sz w:val="24"/>
        </w:rPr>
        <w:t xml:space="preserve"> - </w:t>
      </w:r>
      <w:r>
        <w:rPr>
          <w:sz w:val="24"/>
        </w:rPr>
        <w:t xml:space="preserve">четвертого подпункта "б"</w:t>
      </w:r>
      <w:r>
        <w:rPr>
          <w:sz w:val="24"/>
        </w:rPr>
        <w:t xml:space="preserve"> слова "граждан и"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</w:t>
      </w:r>
      <w:r>
        <w:rPr>
          <w:sz w:val="24"/>
        </w:rPr>
        <w:t xml:space="preserve">пункт 3</w:t>
      </w:r>
      <w:r>
        <w:rPr>
          <w:sz w:val="24"/>
        </w:rPr>
        <w:t xml:space="preserve"> приложения признать утратившим силу.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подпункте "а" пункта 1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абзацев четвертого</w:t>
      </w:r>
      <w:r>
        <w:rPr>
          <w:sz w:val="24"/>
        </w:rPr>
        <w:t xml:space="preserve">, </w:t>
      </w:r>
      <w:r>
        <w:rPr>
          <w:sz w:val="24"/>
        </w:rPr>
        <w:t xml:space="preserve">седьмого</w:t>
      </w:r>
      <w:r>
        <w:rPr>
          <w:sz w:val="24"/>
        </w:rPr>
        <w:t xml:space="preserve"> и </w:t>
      </w:r>
      <w:r>
        <w:rPr>
          <w:sz w:val="24"/>
        </w:rPr>
        <w:t xml:space="preserve">восьмого</w:t>
      </w:r>
      <w:r>
        <w:rPr>
          <w:sz w:val="24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абзаца девятого</w:t>
      </w:r>
      <w:r>
        <w:rPr>
          <w:sz w:val="24"/>
        </w:rP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подпункте "а" пункта 2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абзацев второго</w:t>
      </w:r>
      <w:r>
        <w:rPr>
          <w:sz w:val="24"/>
        </w:rPr>
        <w:t xml:space="preserve"> - </w:t>
      </w:r>
      <w:r>
        <w:rPr>
          <w:sz w:val="24"/>
        </w:rPr>
        <w:t xml:space="preserve">пятого</w:t>
      </w:r>
      <w:r>
        <w:rPr>
          <w:sz w:val="24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 </w:t>
      </w:r>
      <w:r>
        <w:rPr>
          <w:sz w:val="24"/>
        </w:rPr>
        <w:t xml:space="preserve">абзаца шестого</w:t>
      </w:r>
      <w:r>
        <w:rPr>
          <w:sz w:val="24"/>
        </w:rP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пунктом 3.1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N 21, ст. 2546);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пункт 20</w:t>
      </w:r>
      <w:r>
        <w:rPr>
          <w:sz w:val="24"/>
        </w:rP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6 - 8. Утратили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8 июля 2013 года</w:t>
      </w:r>
    </w:p>
    <w:p>
      <w:pPr>
        <w:pStyle w:val="0"/>
        <w:spacing w:before="240"/>
      </w:pPr>
      <w:r>
        <w:rPr>
          <w:sz w:val="24"/>
        </w:rPr>
        <w:t xml:space="preserve">N 613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июля 2013 г. N 613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РАЗМЕЩЕНИЯ СВЕДЕНИЙ О ДОХОДАХ, РАСХОДАХ,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ОТДЕЛЬНЫХ</w:t>
      </w:r>
    </w:p>
    <w:p>
      <w:pPr>
        <w:pStyle w:val="2"/>
        <w:jc w:val="center"/>
      </w:pPr>
      <w:r>
        <w:rPr>
          <w:sz w:val="24"/>
        </w:rPr>
        <w:t xml:space="preserve">КАТЕГОРИЙ ЛИЦ И ЧЛЕНОВ ИХ СЕМЕЙ НА ОФИЦИАЛЬНЫХ САЙТАХ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ОРГАНОВ, ОРГАНОВ ПУБЛИЧНОЙ</w:t>
      </w:r>
    </w:p>
    <w:p>
      <w:pPr>
        <w:pStyle w:val="2"/>
        <w:jc w:val="center"/>
      </w:pPr>
      <w:r>
        <w:rPr>
          <w:sz w:val="24"/>
        </w:rPr>
        <w:t xml:space="preserve">ВЛАСТИ ФЕДЕРАЛЬНОЙ ТЕРРИТОРИИ "СИРИУС", КОНТРОЛЬНО-СЧЕТНОЙ</w:t>
      </w:r>
    </w:p>
    <w:p>
      <w:pPr>
        <w:pStyle w:val="2"/>
        <w:jc w:val="center"/>
      </w:pPr>
      <w:r>
        <w:rPr>
          <w:sz w:val="24"/>
        </w:rPr>
        <w:t xml:space="preserve">ПАЛАТЫ ФЕДЕРАЛЬНОЙ ТЕРРИТОРИИ "СИРИУС" И ТЕРРИТОРИАЛЬНОЙ</w:t>
      </w:r>
    </w:p>
    <w:p>
      <w:pPr>
        <w:pStyle w:val="2"/>
        <w:jc w:val="center"/>
      </w:pPr>
      <w:r>
        <w:rPr>
          <w:sz w:val="24"/>
        </w:rPr>
        <w:t xml:space="preserve">ИЗБИРАТЕЛЬНОЙ КОМИССИИ ФЕДЕРАЛЬНОЙ ТЕРРИТОРИИ "СИРИУС",</w:t>
      </w:r>
    </w:p>
    <w:p>
      <w:pPr>
        <w:pStyle w:val="2"/>
        <w:jc w:val="center"/>
      </w:pPr>
      <w:r>
        <w:rPr>
          <w:sz w:val="24"/>
        </w:rPr>
        <w:t xml:space="preserve">ОРГАНОВ ГОСУДАРСТВЕННОЙ ВЛАСТИ СУБЪЕКТОВ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И ОРГАНИЗАЦИЙ И ПРЕДОСТАВЛЕНИЯ ЭТИХ СВЕДЕНИЙ</w:t>
      </w:r>
    </w:p>
    <w:p>
      <w:pPr>
        <w:pStyle w:val="2"/>
        <w:jc w:val="center"/>
      </w:pPr>
      <w:r>
        <w:rPr>
          <w:sz w:val="24"/>
        </w:rPr>
        <w:t xml:space="preserve">ОБЩЕРОССИЙСКИМ СРЕДСТВАМ МАССОВОЙ ИНФОРМАЦИИ</w:t>
      </w:r>
    </w:p>
    <w:p>
      <w:pPr>
        <w:pStyle w:val="2"/>
        <w:jc w:val="center"/>
      </w:pPr>
      <w:r>
        <w:rPr>
          <w:sz w:val="24"/>
        </w:rPr>
        <w:t xml:space="preserve">ДЛЯ ОПУБЛИКОВАНИЯ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08.07.2013 N 613</w:t>
            <w:br/>
            <w:t xml:space="preserve">(ред. от 31.12.2025)</w:t>
            <w:br/>
            <w:t xml:space="preserve">"Вопросы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08.07.2013 N 613</w:t>
            <w:br/>
            <w:t xml:space="preserve">(ред. от 31.12.2025)</w:t>
            <w:br/>
            <w:t xml:space="preserve">"Вопросы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08.07.2013 N 613
(ред. от 31.12.2025)
"Вопросы противодействия коррупции"</dc:title>
  <cp:lastModifiedBy>msamarina</cp:lastModifiedBy>
  <dcterms:created xsi:type="dcterms:W3CDTF">2026-03-17T14:13:22Z</dcterms:created>
</cp:coreProperties>
</file>