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Перечень нормативных правовых актов в сфере недропользования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Конституция Российской Федерации, федеральные законы и кодексы, законодательные акты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Конституция Российской Федерации (принята всенародным голосованием 12.12.1993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 w:eastAsia="ru-RU"/>
        </w:rPr>
        <w:t xml:space="preserve">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из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менениями, одобренными в ходе общероссийского голосования 01.07.2020) (с учетом поправок, внесенных Законами РФ о поправке к Конституции РФ от 30.12.2008 № 6-ФКЗ, от 30.12.2008 № 7-ФКЗ, от 05.02.2014 № 2-ФКЗ, от 21.07.2014 № 11-ФКЗ, от 14.03.2020 № 1-ФКЗ);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Закон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оссийской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от 21.02.1992 № 2395-1 «О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23.02.1995 № 26-ФЗ «О природных лечебных ресурсах, лечебно-оздоровительных местностях и курортах»;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30.11.1995 № 187-ФЗ «О континентальном шельфе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30.12.1995 № 225-ФЗ «О соглашениях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20.06.1996 № 81-ФЗ «О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26.03.1998 № 41-ФЗ «О драгоценных металлах и драгоценных камнях»;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24.06.1998 № 89-ФЗ «Об отходах производства и потребления»;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Налоговый кодекс Российской Федерации от 31.07.1998 № 146-ФЗ;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31.07.1998 № 155-ФЗ «О внутренних морских водах, территориальном море и прилежащей зоне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31.03.1999 № 69-ФЗ «О газоснабжении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Земельный кодекс Российской Федерации от 25.10.2001 № 136-ФЗ;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Кодекс Российской Федерации об административных правонарушениях от 30.12.2001 № 195-ФЗ;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Градостроительный кодекс Российской Федерации от 29.12.2004 № 190-ФЗ;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Водный кодекс Российской Федерации от 03.06.2006 № 74-ФЗ,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Лесной кодекс Российской Федерации от 04.12.2006 № 200-ФЗ;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04.12.2006 № 201-ФЗ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«О введении в действие Лесного кодекса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11.07.2011 № 190-ФЗ «Об обращении с радиоактивными отходами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29.06.2015 № 161-ФЗ «Об 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обенностях правового регулирования отношений в сфере пользования недрами в связи с принятием в Российскую Федерацию Республики Крым и образованием в составе Российской Федерации новых субъектов - Республики Крым и города федерального значения Севастополя»;</w:t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Федеральный закон от 31.07.2020 № 247-ФЗ «Об обязательных требованиях в Российской Федерации»;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31.07.2020 № 248-ФЗ «О государственном контроле (надзоре) и муниципальном контроле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01.04.2022 № 75-ФЗ «О соглашениях, заключаемых при осуществлении геологического изучения, разведки и добычи углеводородного сырья, и о внесении изменения в Закон Российской Федерации «О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5-ФКЗ «О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6-ФКЗ «О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7-ФКЗ «О принятии в Российскую Федерацию Запорожской области и образовании в составе Российской Федерации нового субъекта - Запорожской области»;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8-ФКЗ «О принятии в Российскую Федерацию Херсонской области и образовании в составе Российской Федерации нового субъекта - Херсонской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29.12.2022 № 612-ФЗ «О вне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 16 Федерального закона «О железнодорожном транспорте в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 19.12.2023 № 619-ФЗ </w:t>
      </w:r>
      <w:bookmarkStart w:id="0" w:name="Заголовок_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«О внесении изменения в статью 43 Закона Российской Федерации «О недрах»</w:t>
      </w:r>
      <w:bookmarkEnd w:id="0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Указы Президента Российской Федерации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num" w:pos="567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Указ Президента РФ от 30.11.1995 № 1203 «Об утверждении Перечня сведений, отнесенных к государственной тайне»;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Указ Президента РФ от 09.03.2004 № 314 «О системе и структуре федеральных органов исполнительной власти»;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Указ Президента РФ от 08.03.2022 № 100 «О применении в целях обеспечения безопасности Российской Федерации специальных экономических мер в сфере внешнеэкон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омической деятельности»;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Указ Президента РФ от 07.04.2025 № 217 «О подготовке проектов поручений Президента Российской Федерации об установлении специальных требований к участникам аукциона на право пользования участками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Документы в сфере стратегического планирования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Государственная программа Российской Федерации «Воспроизводство и использование природных ресурсов», утвержденная постановлением Правительства РФ от 15.04.2014 № 322;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Программа развития угольной промышленности России на период до 2035 года, утвержденная распоряжением Правительства РФ от 13.06.2020 № 1582-р;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Фронтальная стратегия (перечень инициатив социально-экономического развития) Российской Федерации до 2030 года, утвержденная распоряжением Правительства РФ от 06.10.2021 № 2816-р, включая федеральный проект «Геология: возрождение легенды»;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Государственная программа Российской Федерации «Национальная система пространственных данных», утвержденная постановлением Правительства РФ от 01.12.2021 № 2148;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Стратегическое направление в области цифровой трансформации отрасли экологии и природопользования, относящейся к сфере деятельности Министерства природных ресурсов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экологии Российской Федерации, утвержденное распоряжением Правител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ьства РФ от 15.12.2023 № 3664-р;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Стратегия развития минерально-сырьевой базы Российской Федерации до 2050 года, утвержденная распоряжением Правител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ьства РФ от 11.07.2024 № 1838-р;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Энергетическая стратегия Российской Федерации на период до 2050 года, утвержденная распоряжением Правительства РФ от 12.04.2025 № 908-р;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1418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Стратегическое направление в области цифровой трансформации топливно-энергетического комплекса до 2036 года, утвержденное распоряжением Правительства РФ от 26.02.2026 № 373-р;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Акты Правительства Российской Федерации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08.07.1999 № 741 «Об утверждении Положения о формировании и использовании ликвидационного фонда при реализации соглашения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26.12.2001 № 899 «Об утверждении Правил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тнесения запасов полезных ископаемых к некондиционным запасам и утверждения нормативов содержания полезных ископаемых, остающихся во вскрышных, вмещающих (разубоживающих) породах, в отвалах или в отходах горно-добывающего и перерабатывающего производства»;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Постановление Правительства РФ от 26.12.2001 № 900 «Об особо охраняемых геологических объектах, имеющих научное, культурное, эстетическое, санитарно-оздоровительное и иное значение»;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28.04.2003 № 249 «О порядке и условиях взимания регулярных платежей за пользование недрами с пользователей недр, осуще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ствляющих поиск и разведку месторождений на континентальном шельфе Российской Федерации и в исключительной экономической зоне Российской Федерации, а также за пределами Российской Федерации на территориях, находящихся под юрисдикцией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06.04.2004 № 171 «Вопросы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17.06.2004 № 293 «Об утверждении Положения о Федеральном агентстве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12.12.2004 № 764 «Об утверждении Правил определения сумм компенсации расходов государства на поиски и разведку полезных ископаемых, предусматриваемых в соглашениях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РФ от 16.09.2008 № 697 «Об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07.11.2008 № 823 «О порядке официального опубликования перечня участков недр федерального значения в официальном издании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08.01.2009 № 4 «Об утверждении Положения о рассмотрении заявок на получ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ение права пользования недрами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на предоставляемых в пользование без проведения аукционов участке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недр федерального значения континентального шельфа Российской Федерации, участке недр федерального значения, расположенном на территории Российской Федерации и простирающемся на ее континентальный шельф, участке недр федерального значения, содержащем газ»;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10.03.2009 № 206 «Об утверждении Положения о возмещении расходов на поиск и оценку открытого месторождения полезных ископаемых и суммы уплаченного в соответствии с условиями совмещенной лицензии разового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платежа за пользование участком недр лицам, 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торым в соответствии с частью пятой статьи 2.1 Закона Российской Федерации «О недрах» отказано в предоставлении права пользования участком недр для разведки и добычи полезных ископаемых на участке недр федерального значения, и о выплате им вознаграждения»;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16.10.2012 № 1055 «Об утверждении перечня районов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Крайнего Севера и приравненных к ним местностей, а также иных малонаселенных и труднодоступных местностей, в которых организации, имеющие право в установленном порядке приобретать, хранить и использовать служебное оружие (за исключением огнестрельного коро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ткоствольного служебного оружия) и в качестве служебного оружия охотничье огнестрельное оружие, проводят полевые работы по региональному геологическому изучению недр и геологическому изучению, включающему поиски и оценку месторождений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01.07.2013 № 552 «О формировании федерального фонда резервных участков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04.07.2013 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28.04.2015 № 414 «О государственном денежном вознаграждении за открытие месторождения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06.08.2015 № 802 «Об условиях и порядке рассрочки разового платежа за пользование недрами при наступлении определенных событий, оговоренных в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11.11.2015 № 1219 «Об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19.12.2015 № 1384 «О федеральных органах исполнительной власти, уполномо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ченных на установление правил разработки месторождений полезных ископаемых по видам полезных ископаемых, правил подготовки технических проектов разработки месторождений полезных ископаемых по видам полезных ископаемых, а также на согласование этих правил»;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19.12.2015 № 1391 «О федеральном органе исполнительной власти, уполномоченном на создание и эксплуатацию федеральной государственной информационной системы «Единый фонд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30.01.2016 № 48 «О федеральной государственной информационной системе «Единый фонд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30.01.2016 № 49 «О передаче в федеральный фонд геологической информации о недрах и его территориальные фонды геологической информации о недрах, не указанной в частях девятой и одиннадцатой статьи 27 Закона Росси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йской Федерации «О недрах», права на которую не были переданы третьим лицам в установленном законодательством Российской Федерации порядке при реорганизации или ликвидации юридического лица, являющегося обладателем такой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12.08.2017 № 963 «О критериях отнесения полезных ископаемых к попутным полезным ископаемым (за исключением попутных вод, углеводородного сырья и общераспространенных полезных ископаемых)»;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27.05.2020 № 762 «О федеральном органе исполн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ительной власти, устанавливающем правила разработки технологий геологического изучения, разведки и добычи трудноизвлекаемых полезных ископаемых и правила подготовки проектной документации на разработку технологий геологического изучения, разведки и добычи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трудноизвлекаемых полезных ископаемых, а также федеральных органах исполнительной власти, уполномоченных на согласование этих правил»;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14.09.2020 № 1424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значения, которые предоставляются в пользование без проведения аукционов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16.09.2020 № 1465 «Об утверждении Правил подготовки и оформления документов, удостоверяющих уточненные границы горного отвода»;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16.09.2020 № 1466 «Об утверждении Правил подготовки, рассмотрения и согласования планов и схем развития горных работ по видам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01.01.2027)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19.09.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2020 № 1499 «Об установлении видов трудноизвлекаемых полезных ископаемых, в отношении которых право пользования участком недр может предоставляться для разработки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20.10.2020 № 1715 «О подготовке, согласовании и утверждении проектной документации на разработку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30.06.2021 № 1074 «О федеральном государственном горном надзоре»;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30.06.2021 № 1095 «Об утверждении Положения о федеральном государственном геологическом контроле (надзоре)»;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02.11.2021 № 1905 «Об утверждении Правил подготовки и утверждения региональных перечней полезных ископаемых, относимых к общераспространенным полезным ископаемым»;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02.11.2021 № 1906 «Об утверждении Правил предоставления права пользования участками недр по основанию, предусмотренному пунктом 2 части первой статьи 10.1 Закона Российской Федерации «О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17.11.2021 № 1963 «Об утверждении Правил предоставления права пользования участком недр в соответствии с международным договором Российской Федерации, предусматривающим предоставление права пользования участком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Постановление Правительства РФ от 30.11.2021 № 2127 «О порядке подготовки, согласования и утверждения технических проектов разработки месторождений полезных ископаемых, техниче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28.12.2021 № 2498 «Об определении размера разовых платежей за пользование недрами на участках недр, которые предоставляются в пользование без проведения аукционов»;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вление Правительства РФ от 28.12.2021 № 2499 «О порядке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или местного значения»;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29.12.2021 № 2533 «Об утверждении Правил предоставления права пользования участком недр для строительства и эксплуатации подземных сооружен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ий для захоронения радиоактивных отходов, отходов производства и потребления I и II классов 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09.03.2022 № 312 «О введении на временной основе разрешительного порядка вывоза отдельных видов товаров за пределы территории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12.03.2022 № 353 «Об особенностях разрешительной деятельности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16.04.2022 № 674 «Об утверждении Правил проведения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лезных ископаемых, разведки месторождений полезных ископаемых и размера платы за ее проведение и о внесении изменения в перечень нормативных правовых актов и групп нормативных правовых актов Правительства Российской Федерации, нормативных правовых актов,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«Об обязательных требованиях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Правительства РФ от 23.04.2022 № 999-р «Об утверждении Перечня некапитальных строений, сооружений, не связанных с созданием лесной инфраструктуры, для защитных лесов, эксплуатационных лесов, резервных лесов»;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07.06.2022 № 1040 «О федеральной государственной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географической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информационной системе «Единая цифровая платформа «Национальная система пространственных данных»;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Правительства РФ от 30.08.2022 № 2473-р «Об утверждении Перечня основных видов стратегического минерального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Правительства РФ от 13.10.2022 № 3014-р «Об утверждении перечня объектов инфраструктуры железнодорожного транспорта общего пользования, предусмотренных частью десятой статьи 9 Закона Российской Федерации «О недрах»;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ление Правительства РФ от 01.03.2023 № 335 «О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09.10.2023 № 1651 «Об утверждении Правил предоставления права пользования участком нед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 для разведки и добычи полезных ископаемых на участке недр федерального значения пользователем недр, осуществлявшим геологическое изучение такого участка недр, в случае, предусмотренном частью четырнадцатой статьи 7 Закона Российской Федерации «О недрах»;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29.11.2023 № 2029 «Об утверждении Правил осуществления государственного мониторинга состояния недр и мониторинга состояния недр на участке недр, предоставленном в пользование»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02.02.2024 № 110 «Об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утверждении Правил использования геологической информации о недрах, обладателем которой является Российская Федерация»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16.04.2024 № 939-р «Об утверждении Перечня дефицитных видов твердых полезных ископаемых и Перечня продукции с высокой долей добавленной стоимости, производимой с использованием добытых дефицитных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ов твердых полезных ископаемых»;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31.05.2024 № 737 «Об утверждении Пр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авил согласования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полезных ископаемых, запасы которых учтены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государственным балансом запасов полезных ископаемых, и (или) в границах участков недр, предоставленных в пользование в виде горного отвода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02.11.2024 № 3122-р «Об утверждении перечня магистральных нефтепроводов, нефтепродуктопроводов в соответствии со статьей 9 Закона РФ от 21.02.1992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2395-1 «О недрах»;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16.11.2024 № 3302-р «Об утверждении перечня магистральных газопроводов в соответствии со статьей 9 Закона РФ от 21.02.1992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2395-1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«О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недрах»;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30.11.2024 № 1693 «Об утверждении Правил установления и изменения границ участков недр, предоставленных в пользование»;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04.03.2025 № 500-р «Об утверждении плана мероприятий по реализации Стратегии развития минерально-сырьевой базы Российской Федерации до 2050 года»;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07.03.2025 № 280 «Об утв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ерждении Правил обращения пользователей недр на участках недр, расположенных на территориях Донецкой Народной Республики, Луганской Народной Республики, Запорожской области и Херсонской области, с заявками о предоставлении права пользования участками недр;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Правительства РФ от 14.03.2025 № 311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Об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тверждении Правил принятия решений о предоставлении права пользования участками недр, расположенными на территориях Донецкой Народной Республики, Луганской Народной Республики, Запорожской области и Херсонской области, организациям без проведения аукционов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18.04.2025 № 514 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08.05.2025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604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Об утверждении Правил охраны подземных водных объектов»;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17.05.2025 № 679 «О приостановлении действия пункта 21 Положения о федеральной государственной информационной системе «Единый фонд геологической информации о недрах»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(утрачивает силу 31.12.2027)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22.05.2025 № 710 «Об утверждении Правил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29.05.2025 № 781 «Об утверждении Правил проведения рекультивации и консервации земель»;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567" w:leader="none"/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28.11.2025 № 1952 «Об утверждении Правил предоставления права пользования участком недр при установлении факта открытия месторождения полезных ископаемых на участке недр федерального значения или на участке недр,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который отнесен к участкам недр федерального значения в результате открытия месторождения полезных ископаемых пользователем недр, осуществлявшим геологическое изучение недр такого участка, для разведки и добычи полезных ископаемых открытого месторождения»;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07.05.2026 № 521 «О подготовке экспертного заключения Правительства Российской Федерации по вопросу установления специальных требований к участникам аукциона на право пользования участками недр»;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Приказы Минприроды России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highlight w:val="white"/>
        </w:rPr>
      </w:r>
      <w:bookmarkStart w:id="1" w:name="_GoBack"/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МПР РФ от 07.03.1997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40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 утверждении Классификаций запасов полезных ископаемых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»;</w:t>
      </w:r>
      <w:bookmarkEnd w:id="1"/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29.11.2004 № 711 «Об утверждении Порядка рассмотрения заявок на получение права пользования недрами для целей сбора минералогических, палеонтологических и других геологических коллекционных материалов»;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29.11.2004 № 712 «Об утверждении Порядка рассмотрения заявок на получение права пользования недрами для образования особо охраняемых геологических объектов»;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11.12.2006 № 278 «Об утверждении Классификации запасов и прогнозных ресурсов твердых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30.07.2007 № 195 «Об утверждении Классификации запасов и прогнозных ресурсов питьевых, технических и минеральных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Минприроды России от 25.06.2010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08.07.2010 № 254 «Об утверждении требований к структуре и оформлению проектной документации на разработку месторождений углеводородного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27.10.2010 № 463 «Об утверждении требований к структуре и оформлению проектной документации на разработку месторождений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27.10.2010 № 464 «Об утверждении требований к структуре и оформлению проектной документации на строительство и эксплуатацию подземных сооружений, не связанных с добычей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31.12.2010 № 569 «Об утверждении Требований к составу и правилам оформления представляемых на государственную экспертизу материалов по подсчету запасов питьевых, технических и минеральных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23.05.2011 № 378 «Об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01.09.2011 № 718 «Об утверждении Классификации запасов и прогнозных ресурсов теплоэнергетических и промышленных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06.09.2012 № 265 «Об утверждении Порядка постановки запасов полезных ископаемых на государственный баланс и их списании с государственного баланса»;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23.11.2012 № 401 «Об утверждении Классификации запасов и прогнозных ресурсов лечебных грязей»;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08.02.2013 № 50 «Об утверждении Требований к составу и правилам оформления представляемых на государственную экспертизу материалов по подсчету запасов промышленных и теплоэнергетических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01.11.2013 № 477 «Об утверждении Классификации запасов и ресурсов нефти и горючих газов»;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11.12.2013 № 586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Требований к составу и правилам оформления представляемых на государственную экспертизу материалов по геологической информации об участк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ах недр, намечаемых для строительства и эксплуатации подземных сооружений для хранения нефти и газа, захоронения радиоактивных, токсичных и иных опасных отходов, сброса сточных вод и иных нужд, не связанных с разработкой месторождений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15.05.2014 № 216 «Об утверждении Порядка составления и ведения государственного баланса запасов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11.08.2014 № 362 «Об утверждении Порядка составления и ведения территориальных балансов запасов и кадастров месторождений и проявлений общераспространенных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28.12.2015 № 563 «Об особенностях составления и ведения государственного кадастра месторождений и проявлени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й полезных ископаемых и государственного баланса запасов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морях, в пределах которых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28.12.2015 № 564 «Об утверждении Требований к составу и правилам оформления представляемых на государственную экспертизу материалов по подсчету запасов нефти и горючих газов»;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29.02.2016 № 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8 «Об утверждении Порядка представления образцов горных пород, керна, пластовых жидкостей, флюидов и иных материальных носителей первичной геологической информации о недрах в государственные специализированные хранилища, их хранения, обработки и описания»;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22.03.2016 № 89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формата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14.06.2016 № 352 «Об утверждении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.08.2027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11.11.2016 № 586 «Об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Порядка принятия на временное хранение образцов горных пород, керна, пластовых жидкостей, флюидов и иных материальных носителей первичной геологической информации о недрах фондами геологической информации субъектов Российской Федерации, органами государств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имеются специализированные хранилища»;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11.11.2016 № 587 «Об утверждении перечня геологической информации о недрах, представляемой пользова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телями недр в федеральный фонд геологической информации и его территориальные фонды, фонды геологической информации субъектов Российской Федерации и передаваемой на временное хранение пользователям недр, порядка ее временного хранения пользователями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27.12.2016 № 679 «Об утверждении Классификации водоносных горизонтов (первый, второй и иные водоносные горизонты)»;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04.09.2018 № 413 «Об утверждении официальной статистической Методологии оценки запасов полезных ископаемых в натуральном и стоимостном измерениях и их изменений за год»;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20.09.2019 № 639 «Об утверждении Правил подготовки технических проектов разработки месторождений углеводородного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num" w:pos="709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07.07.2020 № 417 «Об утверждении Правил использования лесов для осуществления геологического изучения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30.07.2020 № 530 «Об утверждении Правил разработки месторождений подземных вод»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.2026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ии от 29.10.2020 № 865 «Об утверждении Порядка государственного учета и ведения государственного реестра работ по геологическому изучению недр, государственного реестра участков недр, предоставленных в пользование, и лицензий на пользование участками недр»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01.09.2026)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06.11.2020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№ 894 «Об утверждении Порядка выделения участка недр, содержащего трудноизвлекаемые полезные ископаемые, для разработки технологий геологического изучения, разведки и добычи трудноизвлекаемых полезных ископаемых, разведки и добычи таких полезных ископаемы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х, осуществляемых по совмещенной лицензии, и рассмотрения заявок на получение права пользования недрами для разработки технологий геологического изучения, разведки и добычи трудноизвлекаемых полезных ископаемых, разведки и добычи таких полезных ископаемых,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осуществляемых по совмещенной лицензии, при выделении участка недр из участка недр, предоставленного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27.11.2020 № 977 «Об утверждении Правил разработки технологий геологического изучения, разведки и добычи трудноизвлекаемых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.2026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27.11.2020 № 978 «Об утверждении Правил подготовки проектной документации на разработку технологий геологического изучения, разведки и добычи трудноизвлекаемых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.2026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01.12.2020 № 996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2026)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18.12.2020 № 1085 «Об утверждении Порядка осуществления добычи полезных ископаемых, не относящихся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к углеводородному сырью, из подземных вод, извлечение которых связано с разработкой месторождений углеводородного сырья, включая добычу полезных ископаемых из попутных вод и вод, используемых для собственных производственных и технологических нужд, пользо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вателями недр, осуществляющими разведку и добычу углеводородного сырья или по совмещенной лицензии геологическое изучение, разведку и добычу углеводородного сырья, в границах предоставленных им участков недр на основании утвержденного технического проекта»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2026)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21.12.2020 № 1092 «Об утверждении Порядка рассмотрения заявок на получение права пользования недрами для разведки и 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обычи подземных вод, используемых для целей питьевого водоснабжения или технического водоснабжения, на участках недр, не отнесенных к участкам недр местного значения, для геологического изучения участков недр, не отнесенных к участкам недр местного значени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я, в целях поисков и оценки подземных вод или для геологического изучения участков недр в целях поисков и оценки подземных вод, их разведки и добычи на участках недр, не отнесенных к участкам недр местного значения, осуществляемых по совмещенной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20.05.2021 № 350 «Об утверждении Порядка составления и ведения государственного кадастра месторождений и проявлений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21.09.2021 № 673 «Об утверждении Перечня государственных специализированных хранилищ образцов горных пород, керна, пластовых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12.10.2021 № 734 «Об утверждении порядка ведения реестра недобросовестных участников аукционов на пр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аво пользования участками недр, в том числе порядка внесения в указанный реестр и исключения из него сведений, а также требований к технологическим, программным, лингвистическим, правовым и организационным средствам обеспечения ведения указанного реестра»;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02.11.2021 № 824 «Об утверждении стратиграфических характеристик (система, отдел, горизонт, пласт)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залежей углеводородного сырья для целей их отнесения к баженовским, абалакским, хадумским, доманиковым продуктивным отложениям, а также продуктивным отложениям тюменской свиты в соответствии с данными государственного баланса запасов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10.01.2022 № 4 «Об утверждении критериев отнесения вопросов согласования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проектов ликвидации и консервации горных выработок, буровых скважин и иных сооружений, связанных с пользованием недрами, к компетенции комиссии, создаваемой Федеральным агентством по недропользованию, и комиссий, создаваемых его территориальными органами»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(утрачивает силу 01.03.2028)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от 17.11.2022 № 787 «Об утверждении Порядка представления государственной отчетности пользователями недр, осуществляющими разведку месторожде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11.01.2023 № 8 «Об утверждении Порядка выд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ачи разрешений на вывоз из Российской Федерации отдельных видов лабораторного, добычного, геолого-разведочного, геофизического оборудования и частей к нему, включенных в приложение № 5 к постановлению Правительства Российской Федерации от 9 марта 2022 г.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312 «О введении на временной основе разрешительного порядка вывоза отдельных видов товаров за пределы территории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(утрачивает силу 31.12.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22.06.2023 № 386 «Об утверждении перечня индикаторов риска нарушения обязательных требований при осуществлении федерального государственного геологического контроля (надзора)»;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15.08.2023 № 520 «Об утверждении Положения о функциональной подсистеме мониторинга состояния недр единой государственной системы предупреждения и ликвидации чрезвычайных ситуаций»;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15.08.2023 № 521 «Об утверждении Примерного перечня мероприятий по охране объектов растительного и животного мира и среды их обитания, при условии выполнения которых осуществляется пользование недрами»;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аз Минприроды России от 02.05.2024 № 257 «Об утверждении Порядка предоставления и состава информации, содержащейся в специальных картах (схемах), предусмотренных частью первой статьи 25 Закона Российской Федерации от 21 февраля 1992 г. № 2395-1 «О недрах»;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06.05.2024 № 269 «Об установлении формы и содержания акта о ликвидации или консервации горных выработок, буровых скважин и иных сооружений, связанных с пользованием недрами, а также порядка его подписания»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06.05.2024 № 280 «Об утверждении порядка и сроков проведения апробации результатов оценки прогнозны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х ресурсов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09.09.2024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62 «Об утверждении стратиграфических характеристик (система, отдел, горизонт, пласт) залежей углеводородного сырья для целей их отнесения к баженовским, абалакским, хадумским, доманиковым,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ачимовским продуктивным отложениям, кумско-керестинской свите, продуктивным отложениям палеозоя Западной Сибири в соответствии с данными государственного баланса запасов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17.01.2025 № 34 «О неприменении отдельного положения приказа Минприроды России от 21 декабря 2020 г. № 1092»;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02.04.2025 № 167 «Об утверждении порядка ведения государственного кадастра отходов производства и потребления»;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17.04.2025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214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 приостановлении отдельных положений приказов Министерства природных ресурсов и экологии Российской Федерации по вопросам, регулирующим размещение сведений о геологическом изучении недр и предоставлении участков недр в пользование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11.09.2025 № 481 «Об утверждении Порядка использования донного грунта, указанного в части 2 статьи 52.3 Водного кодекса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09.04.2026 № 198 «Об утверждении Правил использования лесов для осуществления геологического изучения недр, разведки и добычи полез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 (вступает в силу 01.09.2026);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Распоряжения Минприроды России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Распоряжение МПР России от 05.06.2007 № 37-р «Об утверждении Методических рекомендаций по применению Классификации запасов месторождений и прогнозных ресурсов твердых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Распоряжение МПР России от 27.12.2007 № 6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9-р «Об утверждении Методических рекомендаций по применению Классификации запасов и прогнозных ресурсов питьевых, технических и минеральных подземных вод, утвержденной Приказом Министерства природных ресурсов Российской Федерации от 30 июля 2007 г. № 195»;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Минприроды России от 31.10.2014 № 30-р «Об утверждении Методических рекомендаций по применению Классификации запасов и прогнозных ресурсов твердых полезных ископаемых (нефрит)»;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Распоряжение Минприроды России от 01.02.2016 № 3-р «Об утверждении методических рекомендаций по применению Классификации запасов и ресурсов нефти и горючих газов, утвержденной приказом Министерства природных ресурсов и экологии Российской Федерации от 01.1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1.2013 № 477»;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Совместные приказы Минприроды России и Роснедр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27.09.2021 № 685/01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в со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ответствии с государственным заданием, предусматривающим осуществление государственного геологического изучения недр федеральным государственным учреждением, находящимся в ведении Федерального агентства по недропользованию или его территориального органа»;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Минприроды России и Роснедр от 07.10.2021 № 715/02 «Об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утверждении Порядка предоставления права пользования участками недр в соответствии с соглашением о разделе продукции, заключенным в соответствии с Федеральным законом от 30 декабря 1995 г. № 225-ФЗ «О соглашениях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12.10.2021 № 733/03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в соответствии с государственным контрактом на выполнение работ по геологическому изучению недр, заключенным в соответствии с Федеральным законом от 5 апреля 2013 г. № 44-ФЗ «О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контрактной системе в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сфере закупок товаров, работ, услуг для обеспечения государственных и муниципальных нужд», заключенным Федеральным агентством по недропользованию или его территориальным органом, для осуществления геологического изучения недр»;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12.10.2021 № 735/04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по рез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ультатам аукциона права пользования участком недр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ния, разведки и добычи трудноизвлекаемых полезных ископаемых, за исключением участков недр федерального значения и участков недр местного значения, а в случае, предусмотренном частью восьмой статьи 13.1 Закона Российской Федерации от 21 февраля 1992 г. № 2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395-1 «О недрах» - предоставления права пользования участком недр лицу, заявка которого соответствует требованиям Закона Российской Федерации от 21 февраля 1992 г. № 2395-1 «О недрах» и условиям объявленного аукциона, или единственному участнику аукциона»;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12.10.2021 № 736/05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определении стартового размера разового платежа за пользование недрами в отношении трудноизвлекаемых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13.10.2021 № 740/06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геологического изу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чения недр, включающего поиски и оценку месторождений полезных ископаемых, на участке недр,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13.10.2021 № 743/08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13.10.2021 № 744/09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оставления права краткосрочного (сроком до одного года) пользования участком недр для осуществления юридическим лицом (оператором) деятельности на участке недр, право пользования которым досрочно прекращено, за исключением участков недр местного значения»;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14.10.2021 № 751/10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переоформления лицензий на пользование недрами»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утрачивает силу 31.12.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2027)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14.10.2021 № 752/11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внесения изменений в лицензии на пользование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15.10.2021 № 756/12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определения суммы сбора за участие в аукционах на право пользования участками недр»;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782/13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установлении формы лицензии на пользование недрами и порядка оформления, государственной регистрации и выдачи лицензий на пользование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786/14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ставления права пользования участками недр для строительства и эксплуатации подземных сооружений, не связанных с добычей полезных ископаемых (за исключением подземных сооружений для захоронения радиоактивных отходов, отходов производства и потребления I -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V классов опасности и подземных сооружений, не связанных с добычей полезных ископаемых, на участках недр местного значения), и (или) геологического изучения и оценки пригодности участка недр для строительства и эксплуатации указанных подземных сооружений»;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787/15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ка предоставления права пользования участками недр для строительства и эксплуатации хранилищ углеводородного сырья и (или) геологического изучения и оценки пригодности участка недр для строительства и эксплуатации указанных хранилищ углеводородного сырья»;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788/16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строительства и эксплуатации подземных сооружений для захоронения отходов производства и потребления III - V классов опасности»;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789/17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отходов, отходов производства и потребления I - V классов опасности»;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790/18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рья, вод, образующихся у пользователей недр, осуществляющих разведку и добычу, а также первичную переработку калийных и магниевых солей, и (или) геологического изучения и оценки пригодности участка недр для размещения в пластах горных пород указанных вод»;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26.10.2021 № 796/19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ядка установления факта открытия месторождения полезных ископаемых,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утрачивает силу 31.08.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2027)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28.10.2021 № 802/20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геологического изуче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ния недр, включающего поиски и оценку месторождений полезных ископаемых, на участке недр, не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31.12.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2027)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28.10.2021 № 803/21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при установлении факта открытия месторождения пол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езных ископаемых на 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месторождения, за исключением участка недр федерального значения, участка недр, который отне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сен к участкам недр федерального значения в результате открытия месторождения полезных ископаемых, участка недр местного значения, участка недр в случае осуществления геологического изучения недр такого участка в соответствии с государственным контрактом»;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28.10.2021 № 807/22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подготовки перечней участков недр (за исключением участков недр федерального значения и участков недр местного значения) для геологического изучения недр, для разведки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31.03.2022 № 242/01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установлении Методики расчета минимального (стартового) размера разового платежа за пользование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Минприроды России и Роснедр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от 23.08.2022 № 547/04 «Об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Приказ Минприроды России и Роснедр от 23.08.2022 № 548/05 «Об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утверждении перечней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первичной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Приказ Минприроды России и Роснедр от 23.08.2022 № 549/06 «Об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утверждении Требований к содержанию геологической информации о недрах и формы ее представления»;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23.08.2022 № 554/07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местного значения в соответствии с государственным контрактом на выполнение работ по геологическому изучению недр, заключенным в соответствии с Федеральным закон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 от 5 апреля 2013 г. № 44-ФЗ «О контрактной системе в сфере закупок товаров, работ, услуг для обеспечения государственных и муниципальных нужд», органом государственной власти субъекта Российской Федерации для осуществления геологического изучения недр»;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25.04.2023 № 246/03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добычи полезных ископаемых и полезных компонентов из отходов недропользования, в том числе из вскрышных и вмещающих горных пород»;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25.04.2023 № 247/04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использования отходов недропользования, в том числе вскрышных и вмещающих горных пород, пользователями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07.08.2023 № 489/08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осуществления на основании проектной документации, предусмотренной статьей 23.2 Закона Российской Федерации от 21 февраля 1992 г. № 2395-1 «О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недрах», строительства и эксплуатации подземных сооружений, не связанных с добычей полезных ископаемых, в 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 числе для размещения углекислого газа (за исключением подземных сооружений для захоронения отходов производства и потребления I - V классов опасности), пользователями недр, осуществляющими разведку и добычу полезных ископаемых или по совмещенной лицензи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геологическое изучение, разведку и добычу полезных ископаемых (за исключением общераспространенных полезных ископаемых), в границах предоставленных им в соответствии с Законом Российской Федерации от 21 февраля 1992 г. № 2395-1 «О недрах» участков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07.08.2023 № 490/09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размещения пользователями недр в пластах 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орных пород подземных вод после извлечения из них полезных компонентов, попутных вод и вод, использованных пользователями недр для собственных производственных и технологических нужд, в соответствии с частями третьей - пятой статьи 19.1 Закона Российской 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едерации от 21 февраля 1992 г.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2395-1 «О недрах»;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14.08.2023 № 519/11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разведки и добычи полезных ископаемых на участке недр (за исключением участка недр федерального значения и уча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стка недр местного значения) пользователем недр, осуществлявшим геологическое изучение такого участка недр,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ского изучения недр на участке недр, в границах которого ранее в результате пользования недрами иными лицами образованы отходы недропользования и (или) в отношении которого ранее запасы полезных ископаемых были списаны с государственного баланса запасов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 25.04.2024 № 240/03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заключения соглашения, предусмотренного частью пятой статьи 7 Закона Российской Федерации от 21 февраля 1992 г. № 2395-1 «О недрах»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 02.05.2024 № 253/04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подготовки перечня участков недр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исключением участков недр федерального значения и участков недр местного значения) для регионального геологического изучения недр, осуществляемого за счет средств федерального бюджета и (или) собственных и (или) привлеченных средств пользователей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</w:t>
      </w:r>
      <w:r>
        <w:rPr>
          <w:rFonts w:hint="eastAsia"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02.05.2024 № 254/05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вания участками недр для регионального геологического изучения недр на участке недр лицом, отвечающим требованиям части двенадцатой статьи 9 Закона Российской Федерации от 21 февраля 1992 г. № 2395-1 «О недрах», включенном в перечень участков недр для реги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онального геологического изучения недр, осуществляемого за счет средств федерального бюджета и (или) собственных и (или) привлеченных средств пользователей недр, за исключением недр на участках недр федерального значения и участках недр местного значения»;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 02.05.2024 № 256/07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определении Порядка совместного осуществления пользования недрами федеральны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 государственными (бюджетными или автономными) учреждениями, находящимися в ведении Федерального агентства по недропользованию, и иными пользователями недр в границах геологического отвода, предоставленного для регионального геологического изучения недр»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Роснедр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 17.01.2025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35/01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неприменении отдельных положений приказов Минприроды России и Роснедр по вопросу предоставления права пользования участками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Роснедр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 17.03.2025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110/02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Правил разработки местор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ождений углеводородного сырья»;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Роснедр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 15.04.2025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209/03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Правил разработки месторождений твердых полезных ископаемых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709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11.08.2025 № 431/07 «Об утверждении Порядка установления размеров ставок регулярных платежей за пользование недрами»;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0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18.08.2025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№ 449/08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Правил подготовки технических проектов разработки месторождений твердых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др от 13.02.2026 № 76/03 «Об утверждении Порядка ведения государственного реестра работ по геологическому изучению недр, государственного реестра участков недр, предоставленных в пользование, и лицензий на пользование недрами» (вступает в силу 01.09.2026);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Роснедр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 14.04.2026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219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05 «Об утверждении порядка осуществления добычи подземных вод для собственных производственных и технологических нужд пользователями недр, осуще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(вступает в силу 01.09.2026);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14.04.2026 № 220/06 «Об утверждении Порядка осуществления добычи полезных ископаемых, не относящихся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 углеводородному сырью, из подземных вод, извлечение которых связано с разработкой месторождений углеводородного сырья, включая добычу полезных ископаемых из попутных вод и вод, используемых для собственных производственных и технологических нужд, пользов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ателями недр, осуществляющими разведку и добычу углеводородного сырья или по совмещенной лицензии геологическое изучение, разведку и добычу углеводородного сырья, в границах предоставленных им участков недр на основании утвержденного технического проекта»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(вступает в силу 01.09.2026);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17.04.2026 № 230/07 «Об утверждении Правил разработки технологий геологического изучения, разведки и добычи трудноизвлекаемых полезных ископаемых»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(вступает в силу 01.09.2026);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22.04.2026 № 241/08 «Об утверждении Правил подготовки проектной документации на разработку технологий геологического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изучения, разведки и добычи трудноизвлекаемых полезных ископаемых» (вступает в силу 01.09.2026);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24.04.2026 № 247/09 «Об утверждении Правил разработки месторождений подземных вод»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(вступает в силу 01.09.2026);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Приказы Роснедр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20.10.2004 № 287 «О коллегии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22.02.2005 № 185 «О возложении полномочий по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на Государственное учреждение «Государственная комиссия по запасам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22.12.2005 № 1332 «О территориальных комиссиях по запасам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30.03.2007 № 360 «Об утверждении Регламента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22.06.2010 № 654 «Об организации рассмотрения и согласования технических проектов разработки месторождений подземных вод, строительства и эксплуатации подземных сооружений, не связанных с добычей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29.10.2010 № 1274 «Об утверждении методических рекомендаций по обеспечению учета ресурсной базы подземных вод с применением Классификатора названий месторождений и участков месторождений»;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05.03.2013 № 193 «Об утверждении Регламента работы по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ассмотрению жалоб (претензий) на решения и действия (бездействие) Федерального агентства по недропользованию, его территориальных органов, их должностных лиц, федеральных госслужащих, осуществленные и принятые в ходе предоставления государственной услуги»;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07.04.2016 № 255 «О распределении полномочий между Федеральным агентством по недропользованию, его территориальными органами и подведомственными организациями при принят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ии решений об изъятии земельных участков для государственных нужд Российской Федерации в связи с осуществлением недропользования (за исключением земельных участков, необходимым для ведения работ, связанных с пользованием участками недр местного значения)»;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17.05.2016 № 352 «О наделении полномочиями по созданию и ведению федеральной государственной информационной системы «Единый фонд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25.05.2017 № 224 «Об утверждении Порядка организации работы по обеспечению доступа к информации о деятельности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23.10.2018 № 466 «Об утверждении формы заявления о признании организации пригодной эксплуатировать ядерную установку, радиационный источник или пункт хранения и осуществлять собственными силами или с привлечением других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организаций деятельность по размещению, проектированию, сооружению, эксплуатации и выводу из эксплуатации ядерной установки, радиационного источника или пункта хранения, а также деятельность по обращению с ядерными материалами и радиоактивными веществами»;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26.02.2020 № 73 «Об утверждении положения об Общественном совете при Федеральном агентстве по недропользованию и дополнительных (специфических) требований к общественным объединениям и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ным негосударственным некоммерческим организациям, обладающим правом выдвижения кандидатур в члены общественного совета при Федеральном агентстве по недропользованию, и кандидатам в члены общественного совета при Федеральном агентстве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26.05.2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022 № 266 «Об организации рассмотрения и согласования технических проектов разработки месторождений углеводородного сырья и иной проектной документации, согласование которых осуществляется комиссией, создаваемой Федеральным агентством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 от 29.05.2023 № 304 «Об утверждении Порядка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а также внесения в них изменений»;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11.08.2023 № 482 «Об утверждении требований к формату пред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оставления информации уполномоченного органа исполнительной власти субъекта Российской Федерации о наличии или отсутствии месторождений общераспространенных полезных ископаемых под участком предстоящей застройки, запасы которых учтены территориальным балан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сом запасов общераспространенных полезных ископаемых, а также информации о предоставлении (непредоставлении) права пользования участком недр, содержащим общераспространенные полезные ископаемые, в пределах которого намечается застройка земельного участка»;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28.09.2023 № 580 «Об утверждении Порядка ведения реестра заключений государственной экспертизы запасов полезных ископаемых и подземных вод, геологической информации о предоставляем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ых в пользование участках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02.10.2023 № 583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ведения реестра протоколов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согласования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нных с пользованием недрами»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(утрачивает силу 01.03.2028)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21.12.2023 № 763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определении официального сайта в информаци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онно-телекоммуникационной сети «Интернет»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для размещения информации о состоянии окружающей среды (экологической информации), полученной по результатам работ по государственному мониторингу состояния недр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20.09.2024 № 548 «Об образовании Государственной комиссии Федерального агентства по недропользованию по утверждению заключений государственной экспертизы запасов углеводородного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сырья и подземных вод, геологической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добычей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Роснедр от 18.10.2024 № 615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«Об утверждении состава сведений о результата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государственного мониторинга состояния недр, подлежащих размещению на официальном сайте подведомственного Федеральному агентству по недропользованию государственного учреждения в информационно-телекоммуникационной сети «Интернет», порядка их размещения»;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 Роснедр от 27.12.2024 № 910 «Об образовании Центральной комиссии Федерального агентства по недропользованию по согласованию проектной документации на разработку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Роснедр от 27.12.2024 № 913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«Об образовании Центральной комиссии Федерального агентства по недропользованию по согласованию технических проектов разработки месторождений углеводородного сырья»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09.04.2025 № 179 «Об утверждении критериев отнесения объектов государственной экспертизы запасов полезных ископаемых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подземных вод, геологической информации о предоставляемых в пользование участках недр к компетенции Федерального агентства по недропользованию или его территориальных органов»;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14.04.2025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181 «Об утверждении форм и порядка представления в Федеральное агентство по недропользованию данных государственного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мониторинга состояния недр, полученных органами государственной власти субъектов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11.07.2025 № 390 «Об утверждении критериев отнесения вопросов принятия решений об изменении границ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участков недр, за исключением участков недр местного значения, при внесении изменений в лицензии на пользование недрами к компетенции комиссии, создаваемой Федеральным агентством по недропользованию, и комиссий, создаваемых его территориальными органами»;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Административные регламенты предоставления государственных услуг и исполнения государственных функций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Минобрнауки России от 28.12.2011 № 2900 «Об утверждении Административного регламента Министерства образования и науки Российской Федерации по предоставлению государстве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нной услуги по выдаче иностранным и российским заявителям разрешений на проведение морских научных исследований во внутренних морских водах и территориальном море Российской Федерации, в ее исключительной экономической зоне и на ее континентальном шельфе»;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05.05.2012 № 122 «Об утвержд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недрах, полученной в результате государственного геологического изучения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29.06.2012 № 202 «Об утверждении административных регламентов Федеральной службы по надзору в сфере природопользования по предоставлению 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сударственной услуги по выдаче разрешений на создание, эксплуатацию и использование искусственных островов, сооружений и установок, проведение буровых работ во внутренних морских водах, в территориальном море Российской Федерации и на континентальном шельф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 Российской Федерации, по предоставлению государственной услуги по выдаче разрешений на строительство, реконструкцию, проведение изыскательских работ для проектирования и ликвидацию подводных линий связи во внутренних морских водах и в территориальном мор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 Российской Федерации, по предоставлению государственной услуги по выдаче разрешений на прокладку подводных кабелей и трубопроводов во внутренних морских водах, в территориальном море Российской Федерации и на континентальном шельфе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 от 04.04.2016 № 261 «Об утверждении Административного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регламента предоставления Министерством энергетики Российской Федерации государственной услуги по утверждению нормативов технологических потерь углеводородного сырья при добыче, транспортировке сырья и продуктов его переработки трубопроводным транспортом»;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России, Минприроды России от 22.08.2016 № 832/436 «Об утверждении Административного реглам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ента предоставления Министерством энергетики Российской Федерации и Федеральным агентством по недропользованию государственной услуги по подтверждению факта выработки стабильного газового конденсата, полученного в результате переработки нестабильного газов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ого конденсата, добытого на месторождениях, указанных в примечании 9 к единой Товарной номенклатуре внешнеэкономической деятельности Евразийского экономического союза, классифицируемого в подсубпозиции 2709 00 100 1, и его физико-химических характеристик»;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Росприроднадзора от 29.05.2019 № 248 «О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б утверждении Административного регламента Федеральной службы по надзору в сфере природопользования по предоставлению государственной услуги по выдаче заключений (разрешительных документов) на вывоз информации о недрах по районам и месторождениям топливно-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энергетического и минерального сырья, коллекционных материалов по минералогии, палеонтологии, костей ископаемых животных и минерального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15.07.2019 № 277 «Об утверждении Административного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запасам, а также определению нормативов содержания полезных ископаемых, остающихся во вск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рышных, вмещающих (разубоживающих) породах, в отвалах или в отходах горнодобывающего и перерабатывающего производства, по результатам технико-экономического обоснования постоянных разведочных или эксплуатационных кондиций для подсчета разведанных запасов»;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от 29.07.2019 № 293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оформлению документов, удостоверяющих уточненные границы горного отвода»;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Росприроднадзора от 17.09.2019 № 553 «Об утверждении Администр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ативного регламента согласования нормативов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проектной документации»;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России, Роснедр от 17.09.2019 № 982/382 «Об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утверждении Административного регламента предоставления Министерством энергетики Российс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кой Федерации совместно с Федеральным агентством по недропользованию государственной услуги по подтверждению планируемых к добыче и вывозу из Российской Федерации объемов продукции (минерального сырья) в связи с исполнением соглашения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.02.2020 № 59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планов и схем развития горных работ по видам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05.11.2020 № 485 «Об утве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рждении Административного регламента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ых в пользование участках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13.07.2023 № 252 «Об утверждении перечня индикаторов риска нарушения обязательных требований, используемых для осуществления федерального государственного лицензионного контроля (надзора) за производством маркшейдерских работ»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01.01.2027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России, Роснедр от 24.06.2025 № 699/06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утверждении Административного регламента Министерства энергетики Российской Федерации и Федерального агентств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 по недропользованию по предоставлению государственной услуги «Подтверждение факта получения (производства) при разработке нового морского месторождения углеводородного сырья газа природного в газообразном состоянии, широкой фракции легких углеводородов»;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Формы федерального статистического наблюдения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Госкомстата России от 18.06.1999 № 44 «Об утверждении годовых форм федерального государственного статистического наблюдения за запасами полезных ископаемых и их рациональным использованием»;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Госкомстата России от 13.11.2000 № 110 «Об утв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ерждении статистического инструментария для организации МПР России статистического наблюдения за запасами полезных ископаемых, геологоразведочными работами и их финансированием, использованием воды и начисленными платежами за загрязнение окружающей среды»;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Росстата от 04.06.2007 № 43 «Об утверждении статистического инструментария для организации МПР России статистического наблюдения за выполнением условий пользования недрами при добыче углеводородного сырья и твердых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highlight w:val="white"/>
        </w:rPr>
      </w:r>
      <w:hyperlink r:id="rId10" w:tooltip="https://pfo.rosnedra.gov.ru/data/Files/File/5391.rtf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highlight w:val="white"/>
            <w:lang w:eastAsia="ru-RU"/>
          </w:rPr>
          <w:t xml:space="preserve">Приказ Росстата от 07.07.2011 № 308 «Об утверждении статистического инструментария для организации Минприроды России федерального статистического наблюдения за выполнением условий пользования недрами при добыче питьевых и технических подземных вод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Росстата от 09.0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4.2013 № 140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условий пользования недрами при поисках, разведке и добыче углеводородного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Росстата от 06.06.2013 № 203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условий пользования недрами при добыче минеральных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Росстата от 17.09.2013 № 371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геологоразведочных работ»;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Росстата от 21.12.2016 № 844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состоянием и изменением запасов и ресурсов категории 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bscript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нефти, газа, конденсата, этана, пропана, бутанов, серы, гелия, азота, углекислого газа, примесей ванадия и никеля в нефти»;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Росстата от 25.12.2017 № 863 «Об утверждении статистического инструментария для организации Министерством природных ресурсов и экологии Российской Федерации федерального статистического наблюдения за текущей рыночной стоимост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ью запасов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Росстата от 28.07.2025 № 367 «Об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11.12.2025 № 738 «О представлении сведений по форме федерального государственного статистического наблюдения 1-ЛС за 2025 год»;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Приказы иных органов государственной власти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Госстандарта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оссии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от 25.12.2002 № 503-ст «О принятии и введении в действие Общероссийского классификатора полезных ископаемых и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МНС РФ от 11.02.2004 № БГ-3-21/98@ «Об утверждении формы расчета регулярных платежей за пользование недрами и порядка его заполнения»;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Минтранса России от 09.02.2018 № 55 «Об утверждении Порядка согласования добычи общераспространенных полезных ископаемых на внутренних водных путях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09.12.2020 № 508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01.01.2027)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15.12.2020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01.01.2027)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Росприроднадзора от 24.02.2022 № 116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формы проверочного листа (списка контрольных вопросов, ответы на которые свидетельствуют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людении или несоблюдении контролируемым лицом обязательных требований),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геологического контроля (надзора)»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ФСБ России от 26.03.2022 № 125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Порядка организации и осуществления федерального государственного геологического контроля (надзора) на объектах, подведомственных ФСБ России»;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Ростехнадзора от 22.06.2023 № 231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«Об утверждении перечня индикаторов риска нарушения обязательных требований, используемых при осуществлении федерального государственного горного надзора»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ФСО России от 27.03.2025 № 41 «Об утверждении Порядка организации и осуществления федерального государственного геологического контроля (надзора) на объектах, подведомственных Федеральной службе охраны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01.04.2025 № 124 «Об утверждении Руководства по безопасности «Организационное обеспечение деятельности, связанной с производством маркшейдерских работ»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ФНС России от 24.05.202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№ ЕД-7-14/415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@ «Об определении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17.12.2025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436 «Об утверждении Программы профилактики рисков причинения вреда (ущерба) охраняемым законом ценностям при осуществлении федерального государственн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ого горного надзора на 2026 год»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Росприроднадзора от 23.12.2025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№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828 «Об утверждении программ профилактики рисков причинения вреда (ущерба) охраняемым законом ценностям по видам государственного контроля (надзора) на 2026 год»;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8" w:footer="13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8"/>
    <w:uiPriority w:val="10"/>
    <w:rPr>
      <w:sz w:val="48"/>
      <w:szCs w:val="48"/>
    </w:rPr>
  </w:style>
  <w:style w:type="character" w:styleId="37">
    <w:name w:val="Subtitle Char"/>
    <w:basedOn w:val="665"/>
    <w:link w:val="680"/>
    <w:uiPriority w:val="11"/>
    <w:rPr>
      <w:sz w:val="24"/>
      <w:szCs w:val="24"/>
    </w:rPr>
  </w:style>
  <w:style w:type="character" w:styleId="39">
    <w:name w:val="Quote Char"/>
    <w:link w:val="682"/>
    <w:uiPriority w:val="29"/>
    <w:rPr>
      <w:i/>
    </w:rPr>
  </w:style>
  <w:style w:type="character" w:styleId="41">
    <w:name w:val="Intense Quote Char"/>
    <w:link w:val="684"/>
    <w:uiPriority w:val="30"/>
    <w:rPr>
      <w:i/>
    </w:rPr>
  </w:style>
  <w:style w:type="character" w:styleId="43">
    <w:name w:val="Header Char"/>
    <w:basedOn w:val="665"/>
    <w:link w:val="686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5"/>
    <w:next w:val="65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basedOn w:val="665"/>
    <w:link w:val="678"/>
    <w:uiPriority w:val="10"/>
    <w:rPr>
      <w:sz w:val="48"/>
      <w:szCs w:val="48"/>
    </w:rPr>
  </w:style>
  <w:style w:type="paragraph" w:styleId="680">
    <w:name w:val="Subtitle"/>
    <w:basedOn w:val="655"/>
    <w:next w:val="65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basedOn w:val="665"/>
    <w:link w:val="680"/>
    <w:uiPriority w:val="11"/>
    <w:rPr>
      <w:sz w:val="24"/>
      <w:szCs w:val="24"/>
    </w:rPr>
  </w:style>
  <w:style w:type="paragraph" w:styleId="682">
    <w:name w:val="Quote"/>
    <w:basedOn w:val="655"/>
    <w:next w:val="655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5"/>
    <w:next w:val="655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5"/>
    <w:link w:val="686"/>
    <w:uiPriority w:val="99"/>
  </w:style>
  <w:style w:type="character" w:styleId="688" w:customStyle="1">
    <w:name w:val="Footer Char"/>
    <w:basedOn w:val="665"/>
    <w:uiPriority w:val="99"/>
  </w:style>
  <w:style w:type="paragraph" w:styleId="689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Caption Char"/>
    <w:uiPriority w:val="99"/>
  </w:style>
  <w:style w:type="table" w:styleId="691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5"/>
    <w:uiPriority w:val="99"/>
    <w:unhideWhenUsed/>
    <w:rPr>
      <w:vertAlign w:val="superscript"/>
    </w:rPr>
  </w:style>
  <w:style w:type="paragraph" w:styleId="821">
    <w:name w:val="endnote text"/>
    <w:basedOn w:val="65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5"/>
    <w:uiPriority w:val="99"/>
    <w:semiHidden/>
    <w:unhideWhenUsed/>
    <w:rPr>
      <w:vertAlign w:val="superscript"/>
    </w:rPr>
  </w:style>
  <w:style w:type="paragraph" w:styleId="824">
    <w:name w:val="toc 1"/>
    <w:basedOn w:val="655"/>
    <w:next w:val="655"/>
    <w:uiPriority w:val="39"/>
    <w:unhideWhenUsed/>
    <w:pPr>
      <w:spacing w:after="57"/>
    </w:pPr>
  </w:style>
  <w:style w:type="paragraph" w:styleId="825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6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7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8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9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0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1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2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5"/>
    <w:next w:val="655"/>
    <w:uiPriority w:val="99"/>
    <w:unhideWhenUsed/>
    <w:pPr>
      <w:spacing w:after="0"/>
    </w:pPr>
  </w:style>
  <w:style w:type="paragraph" w:styleId="835">
    <w:name w:val="List Paragraph"/>
    <w:basedOn w:val="655"/>
    <w:uiPriority w:val="34"/>
    <w:qFormat/>
    <w:pPr>
      <w:contextualSpacing/>
      <w:ind w:left="720"/>
    </w:pPr>
  </w:style>
  <w:style w:type="paragraph" w:styleId="836">
    <w:name w:val="Footer"/>
    <w:basedOn w:val="655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basedOn w:val="665"/>
    <w:link w:val="836"/>
    <w:uiPriority w:val="99"/>
  </w:style>
  <w:style w:type="paragraph" w:styleId="838">
    <w:name w:val="Normal (Web)"/>
    <w:basedOn w:val="65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40">
    <w:name w:val="annotation text"/>
    <w:basedOn w:val="655"/>
    <w:link w:val="84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1" w:customStyle="1">
    <w:name w:val="Текст примечания Знак"/>
    <w:basedOn w:val="665"/>
    <w:link w:val="840"/>
    <w:uiPriority w:val="99"/>
    <w:semiHidden/>
    <w:rPr>
      <w:sz w:val="20"/>
      <w:szCs w:val="20"/>
    </w:rPr>
  </w:style>
  <w:style w:type="paragraph" w:styleId="842">
    <w:name w:val="annotation subject"/>
    <w:basedOn w:val="840"/>
    <w:next w:val="840"/>
    <w:link w:val="843"/>
    <w:uiPriority w:val="99"/>
    <w:semiHidden/>
    <w:unhideWhenUsed/>
    <w:rPr>
      <w:b/>
      <w:bCs/>
    </w:rPr>
  </w:style>
  <w:style w:type="character" w:styleId="843" w:customStyle="1">
    <w:name w:val="Тема примечания Знак"/>
    <w:basedOn w:val="841"/>
    <w:link w:val="842"/>
    <w:uiPriority w:val="99"/>
    <w:semiHidden/>
    <w:rPr>
      <w:b/>
      <w:bCs/>
      <w:sz w:val="20"/>
      <w:szCs w:val="20"/>
    </w:rPr>
  </w:style>
  <w:style w:type="paragraph" w:styleId="844">
    <w:name w:val="Balloon Text"/>
    <w:basedOn w:val="655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665"/>
    <w:link w:val="844"/>
    <w:uiPriority w:val="99"/>
    <w:semiHidden/>
    <w:rPr>
      <w:rFonts w:ascii="Segoe UI" w:hAnsi="Segoe UI" w:cs="Segoe UI"/>
      <w:sz w:val="18"/>
      <w:szCs w:val="18"/>
    </w:rPr>
  </w:style>
  <w:style w:type="table" w:styleId="846" w:customStyle="1">
    <w:name w:val="Сетка таблицы1"/>
    <w:basedOn w:val="666"/>
    <w:next w:val="6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7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pfo.rosnedra.gov.ru/data/Files/File/5391.rt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E8A9-3895-46DB-A528-AD6BD9BA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Ерыгин Денис Алексеевич</dc:creator>
  <cp:keywords/>
  <dc:description/>
  <cp:lastModifiedBy>aerzh</cp:lastModifiedBy>
  <cp:revision>2</cp:revision>
  <dcterms:created xsi:type="dcterms:W3CDTF">2025-10-09T07:02:00Z</dcterms:created>
  <dcterms:modified xsi:type="dcterms:W3CDTF">2026-06-19T11:47:07Z</dcterms:modified>
</cp:coreProperties>
</file>