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Н</w:t>
      </w:r>
      <w:r>
        <w:rPr>
          <w:rFonts w:ascii="Times New Roman" w:hAnsi="Times New Roman" w:cs="Times New Roman"/>
          <w:b/>
          <w:sz w:val="28"/>
          <w:szCs w:val="28"/>
        </w:rPr>
        <w:t xml:space="preserve">ужно ли рассматривать требование ликвидации горной выработки, как требование обязательной засыпки горной выработки веществами, перечисленными в ч.</w:t>
      </w:r>
      <w:r>
        <w:rPr>
          <w:rFonts w:ascii="Times New Roman" w:hAnsi="Times New Roman" w:cs="Times New Roman"/>
          <w:b/>
          <w:sz w:val="28"/>
          <w:szCs w:val="28"/>
        </w:rPr>
        <w:t xml:space="preserve"> </w:t>
      </w:r>
      <w:r>
        <w:rPr>
          <w:rFonts w:ascii="Times New Roman" w:hAnsi="Times New Roman" w:cs="Times New Roman"/>
          <w:b/>
          <w:sz w:val="28"/>
          <w:szCs w:val="28"/>
        </w:rPr>
        <w:t xml:space="preserve">3 ст.</w:t>
      </w:r>
      <w:r>
        <w:rPr>
          <w:rFonts w:ascii="Times New Roman" w:hAnsi="Times New Roman" w:cs="Times New Roman"/>
          <w:b/>
          <w:sz w:val="28"/>
          <w:szCs w:val="28"/>
        </w:rPr>
        <w:t xml:space="preserve"> </w:t>
      </w:r>
      <w:r>
        <w:rPr>
          <w:rFonts w:ascii="Times New Roman" w:hAnsi="Times New Roman" w:cs="Times New Roman"/>
          <w:b/>
          <w:sz w:val="28"/>
          <w:szCs w:val="28"/>
        </w:rPr>
        <w:t xml:space="preserve">26 Закона «О недрах», или разрабатываемый проект ликвидации должен учитывать дополнительные нормативные документы, регламентирующие способ ликвидации горной выработки в зависимости от состояния горных выработок/карьерных выемок?</w:t>
      </w:r>
    </w:p>
    <w:p>
      <w:pPr>
        <w:spacing w:after="0" w:line="240" w:lineRule="auto"/>
        <w:ind w:left="-567" w:firstLine="425"/>
        <w:jc w:val="both"/>
        <w:rPr>
          <w:rFonts w:ascii="Times New Roman" w:hAnsi="Times New Roman" w:cs="Times New Roman"/>
          <w:b/>
          <w:sz w:val="28"/>
          <w:szCs w:val="28"/>
        </w:rPr>
      </w:pPr>
    </w:p>
    <w:p>
      <w:pPr>
        <w:ind w:left="-567" w:firstLine="425"/>
        <w:contextualSpacing/>
        <w:jc w:val="both"/>
        <w:rPr>
          <w:rFonts w:ascii="Times New Roman" w:hAnsi="Times New Roman" w:cs="Times New Roman"/>
          <w:sz w:val="28"/>
          <w:szCs w:val="28"/>
        </w:rPr>
      </w:pPr>
      <w:r>
        <w:rPr>
          <w:rFonts w:ascii="Times New Roman" w:hAnsi="Times New Roman" w:cs="Times New Roman"/>
          <w:b/>
          <w:sz w:val="28"/>
          <w:szCs w:val="28"/>
        </w:rPr>
        <w:t xml:space="preserve">Ответ</w:t>
      </w:r>
      <w:r>
        <w:rPr>
          <w:rFonts w:ascii="Times New Roman" w:hAnsi="Times New Roman" w:cs="Times New Roman"/>
          <w:b/>
          <w:sz w:val="28"/>
          <w:szCs w:val="28"/>
        </w:rPr>
        <w:t xml:space="preserve">:</w:t>
      </w:r>
      <w:r>
        <w:rPr>
          <w:rFonts w:ascii="Times New Roman" w:hAnsi="Times New Roman" w:cs="Times New Roman"/>
          <w:b/>
          <w:sz w:val="28"/>
          <w:szCs w:val="28"/>
        </w:rPr>
        <w:t xml:space="preserve"> </w:t>
      </w:r>
      <w:r>
        <w:rPr>
          <w:rFonts w:ascii="Times New Roman" w:hAnsi="Times New Roman" w:cs="Times New Roman"/>
          <w:sz w:val="28"/>
          <w:szCs w:val="28"/>
        </w:rPr>
        <w:t xml:space="preserve">Требование ликвидации горных выработок не является требованием об обязательной засыпке карьерных выемок веществами, указанными в ч. 3 ст. 26 Закона РФ «О недрах»</w:t>
      </w:r>
      <w:r>
        <w:rPr>
          <w:rFonts w:ascii="Times New Roman" w:hAnsi="Times New Roman" w:cs="Times New Roman"/>
          <w:sz w:val="28"/>
          <w:szCs w:val="28"/>
        </w:rPr>
        <w:t xml:space="preserve">.</w:t>
      </w:r>
      <w:r>
        <w:rPr>
          <w:rFonts w:ascii="Times New Roman" w:hAnsi="Times New Roman" w:cs="Times New Roman"/>
          <w:sz w:val="28"/>
          <w:szCs w:val="28"/>
        </w:rPr>
        <w:t xml:space="preserve"> </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Часть 3 статьи 26 Закона о недрах имеет диспозитивный характер и предусматривает, что указанные материалы могут использоваться для ликвидации в соответствии с техническим проектом. Иные способы ликвидации (например, консервационное обводнение, частичная засыпка с формированием техногенного водоема) не запрещены, если они обеспечивают безопасность населения и охрану окружающей среды, что должно быть подтверждено проектной документацией. </w:t>
      </w:r>
    </w:p>
    <w:p>
      <w:pPr>
        <w:ind w:left="-567"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ч. ч. 2, 4, 7 ст. 23.2 Закона РФ «О недрах» ликвидация и консервация горных выработок, буровых скважин и иных сооружений, связанных с пользованием недрами, осуществляются в соответствии с утверждёнными техническими проектами ликвидации и консервации горных выработок, буровых скважин и иных сооружений, связанных с пользованием недрами. </w:t>
      </w:r>
    </w:p>
    <w:p>
      <w:pPr>
        <w:spacing w:after="0" w:line="240" w:lineRule="auto"/>
        <w:ind w:left="-567" w:firstLine="425"/>
        <w:jc w:val="both"/>
        <w:rPr>
          <w:rFonts w:ascii="Times New Roman" w:hAnsi="Times New Roman" w:cs="Times New Roman"/>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Calibri" w:hAnsi="Calibri" w:cs="Calibri"/>
          <w:sz w:val="28"/>
          <w:szCs w:val="28"/>
        </w:rPr>
      </w:pPr>
      <w:r>
        <w:rPr>
          <w:rFonts w:ascii="Times New Roman" w:hAnsi="Times New Roman" w:cs="Times New Roman"/>
          <w:b/>
          <w:sz w:val="28"/>
          <w:szCs w:val="28"/>
        </w:rPr>
        <w:t xml:space="preserve">Вопрос:</w:t>
      </w:r>
      <w:r>
        <w:rPr>
          <w:rFonts w:ascii="Calibri" w:hAnsi="Calibri" w:cs="Calibri"/>
          <w:sz w:val="28"/>
          <w:szCs w:val="28"/>
        </w:rPr>
        <w:t xml:space="preserve">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Прошу дать разъяснения касательно необходимости подачи отчетности по результатам локального мониторинга для организаций, осуществляющих водозабор по Лицензии ВЭ с целью добычи подземных вод для питьевого, хозяйственно-бытового и технологического водоснабжения предприятия при величине </w:t>
      </w:r>
      <w:r>
        <w:rPr>
          <w:rFonts w:ascii="Times New Roman" w:hAnsi="Times New Roman" w:cs="Times New Roman"/>
          <w:b/>
          <w:sz w:val="28"/>
          <w:szCs w:val="28"/>
        </w:rPr>
        <w:t xml:space="preserve">водоотбора</w:t>
      </w:r>
      <w:r>
        <w:rPr>
          <w:rFonts w:ascii="Times New Roman" w:hAnsi="Times New Roman" w:cs="Times New Roman"/>
          <w:b/>
          <w:sz w:val="28"/>
          <w:szCs w:val="28"/>
        </w:rPr>
        <w:t xml:space="preserve"> менее 100 м3/</w:t>
      </w:r>
      <w:r>
        <w:rPr>
          <w:rFonts w:ascii="Times New Roman" w:hAnsi="Times New Roman" w:cs="Times New Roman"/>
          <w:b/>
          <w:sz w:val="28"/>
          <w:szCs w:val="28"/>
        </w:rPr>
        <w:t xml:space="preserve">сут</w:t>
      </w:r>
      <w:r>
        <w:rPr>
          <w:rFonts w:ascii="Times New Roman" w:hAnsi="Times New Roman" w:cs="Times New Roman"/>
          <w:b/>
          <w:sz w:val="28"/>
          <w:szCs w:val="28"/>
        </w:rPr>
        <w:t xml:space="preserve">.</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с п. 3 ч. 1 ст. 2.3 Закона Российской Федерации от 21.02.1992 № 2395-1 «О недрах» (далее – Закон «О недрах») участки недр, содержащие подземные воды, которые используются для целей питьевого и хозяйственно</w:t>
      </w:r>
      <w:r>
        <w:rPr>
          <w:rFonts w:ascii="Times New Roman" w:hAnsi="Times New Roman" w:cs="Times New Roman"/>
          <w:sz w:val="28"/>
          <w:szCs w:val="28"/>
        </w:rPr>
        <w:t xml:space="preserve"> </w:t>
      </w:r>
      <w:r>
        <w:rPr>
          <w:rFonts w:ascii="Times New Roman" w:hAnsi="Times New Roman" w:cs="Times New Roman"/>
          <w:sz w:val="28"/>
          <w:szCs w:val="28"/>
        </w:rPr>
        <w:t xml:space="preserve">бытового водоснабжения или технического водоснабжения и объем добычи которых составляет не более 500 кубических метров в сутки, относятся к участкам недр местного значения.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Для пользователей недр (без исключений) п. 14 ч. 2 ст. 22 Закона «О недрах» установлена обязанность по обеспечению осуществления мониторинга состояния недр на участке недр, предоставленном в пользование.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Правила осуществления мониторинга состояния недр на участке недр, предоставленном в пользование (далее – локальный мониторинг), утверждены постановлением Правительства Российской Федерации от 29.11.2024 № 2029 (далее – Правила № 2029).</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Локальный мониторинг осуществляется пользователем недр в соответствии с проектной документацией, предусмотренной п. 35 Правил № 2029.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Вместе с тем, в соответствии с ч. 1 ст. 23.2 Закона «О недрах» при осуществлении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 разработка и утверждение проектной документации не требуется.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sz w:val="28"/>
          <w:szCs w:val="28"/>
        </w:rPr>
        <w:t xml:space="preserve">Учитывая изложенное, при осуществлении пользования недрами в целях добычи подземных вод, которые используются для целей питьевого и хозяйственно</w:t>
      </w:r>
      <w:r>
        <w:rPr>
          <w:rFonts w:ascii="Times New Roman" w:hAnsi="Times New Roman" w:cs="Times New Roman"/>
          <w:sz w:val="28"/>
          <w:szCs w:val="28"/>
        </w:rPr>
        <w:t xml:space="preserve"> </w:t>
      </w:r>
      <w:r>
        <w:rPr>
          <w:rFonts w:ascii="Times New Roman" w:hAnsi="Times New Roman" w:cs="Times New Roman"/>
          <w:sz w:val="28"/>
          <w:szCs w:val="28"/>
        </w:rPr>
        <w:t xml:space="preserve">бытового водоснабжения или технического водоснабжения и объем добычи которых составляет не более 100 кубических метров в сутки, а также при отсутствии в лицензии на пользование недрами условия о необходимости разработки проектной документации, осуществление локального мониторинга состояния недр не обязательно.</w:t>
      </w:r>
      <w:r>
        <w:rPr>
          <w:rFonts w:ascii="Times New Roman" w:hAnsi="Times New Roman" w:cs="Times New Roman"/>
          <w:b/>
          <w:sz w:val="28"/>
          <w:szCs w:val="28"/>
        </w:rPr>
        <w:t xml:space="preserve"> </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Вопрос: </w:t>
      </w:r>
    </w:p>
    <w:p>
      <w:pPr>
        <w:spacing w:after="0" w:line="240" w:lineRule="auto"/>
        <w:ind w:left="-567" w:firstLine="425"/>
        <w:jc w:val="both"/>
        <w:rPr>
          <w:rFonts w:ascii="Times New Roman" w:hAnsi="Times New Roman" w:cs="Times New Roman"/>
          <w:b/>
          <w:sz w:val="28"/>
          <w:szCs w:val="28"/>
        </w:rPr>
      </w:pPr>
      <w:r>
        <w:rPr>
          <w:rFonts w:ascii="Times New Roman" w:hAnsi="Times New Roman" w:cs="Times New Roman"/>
          <w:b/>
          <w:sz w:val="28"/>
          <w:szCs w:val="28"/>
        </w:rPr>
        <w:t xml:space="preserve">У меня есть добычная лицензия БР, защищены запасы, рядом по границе проходит лицензия на геологическое изучение БП. Могу ли я расширить свою лицензию БП (добычную) в сторону лицензии БП. Если могу, то какой порядок и на основании какого закона?</w:t>
      </w:r>
    </w:p>
    <w:p>
      <w:pPr>
        <w:spacing w:after="0" w:line="240" w:lineRule="auto"/>
        <w:ind w:left="-567" w:firstLine="425"/>
        <w:jc w:val="both"/>
        <w:rPr>
          <w:rFonts w:ascii="Times New Roman" w:hAnsi="Times New Roman" w:cs="Times New Roman"/>
          <w:b/>
          <w:sz w:val="28"/>
          <w:szCs w:val="28"/>
        </w:rPr>
      </w:pP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b/>
          <w:sz w:val="28"/>
          <w:szCs w:val="28"/>
        </w:rPr>
        <w:t xml:space="preserve">Ответ: </w:t>
      </w:r>
      <w:r>
        <w:rPr>
          <w:rFonts w:ascii="Times New Roman" w:hAnsi="Times New Roman" w:cs="Times New Roman"/>
          <w:sz w:val="28"/>
          <w:szCs w:val="28"/>
        </w:rPr>
        <w:t xml:space="preserve">Согласно </w:t>
      </w:r>
      <w:r>
        <w:rPr>
          <w:rFonts w:ascii="Times New Roman" w:hAnsi="Times New Roman" w:cs="Times New Roman"/>
          <w:sz w:val="28"/>
          <w:szCs w:val="28"/>
        </w:rPr>
        <w:t xml:space="preserve">абз</w:t>
      </w:r>
      <w:r>
        <w:rPr>
          <w:rFonts w:ascii="Times New Roman" w:hAnsi="Times New Roman" w:cs="Times New Roman"/>
          <w:sz w:val="28"/>
          <w:szCs w:val="28"/>
        </w:rPr>
        <w:t xml:space="preserve">. 4 </w:t>
      </w:r>
      <w:r>
        <w:rPr>
          <w:rFonts w:ascii="Times New Roman" w:hAnsi="Times New Roman" w:cs="Times New Roman"/>
          <w:sz w:val="28"/>
          <w:szCs w:val="28"/>
        </w:rPr>
        <w:t xml:space="preserve">пп</w:t>
      </w:r>
      <w:r>
        <w:rPr>
          <w:rFonts w:ascii="Times New Roman" w:hAnsi="Times New Roman" w:cs="Times New Roman"/>
          <w:sz w:val="28"/>
          <w:szCs w:val="28"/>
        </w:rPr>
        <w:t xml:space="preserve">. «б» п. 9 Правил</w:t>
      </w:r>
      <w:r>
        <w:rPr>
          <w:rFonts w:ascii="Times New Roman" w:hAnsi="Times New Roman" w:cs="Times New Roman"/>
          <w:sz w:val="28"/>
          <w:szCs w:val="28"/>
        </w:rPr>
        <w:t xml:space="preserve">,</w:t>
      </w:r>
      <w:r>
        <w:rPr>
          <w:rFonts w:ascii="Times New Roman" w:hAnsi="Times New Roman" w:cs="Times New Roman"/>
          <w:sz w:val="28"/>
          <w:szCs w:val="28"/>
        </w:rPr>
        <w:t xml:space="preserve"> </w:t>
      </w:r>
      <w:r>
        <w:rPr>
          <w:rFonts w:ascii="Times New Roman" w:hAnsi="Times New Roman" w:cs="Times New Roman"/>
          <w:sz w:val="28"/>
          <w:szCs w:val="28"/>
        </w:rPr>
        <w:t xml:space="preserve">утвержден</w:t>
      </w:r>
      <w:r>
        <w:rPr>
          <w:rFonts w:ascii="Times New Roman" w:hAnsi="Times New Roman" w:cs="Times New Roman"/>
          <w:sz w:val="28"/>
          <w:szCs w:val="28"/>
        </w:rPr>
        <w:t xml:space="preserve">н</w:t>
      </w:r>
      <w:r>
        <w:rPr>
          <w:rFonts w:ascii="Times New Roman" w:hAnsi="Times New Roman" w:cs="Times New Roman"/>
          <w:sz w:val="28"/>
          <w:szCs w:val="28"/>
        </w:rPr>
        <w:t xml:space="preserve">ы</w:t>
      </w:r>
      <w:r>
        <w:rPr>
          <w:rFonts w:ascii="Times New Roman" w:hAnsi="Times New Roman" w:cs="Times New Roman"/>
          <w:sz w:val="28"/>
          <w:szCs w:val="28"/>
        </w:rPr>
        <w:t xml:space="preserve">х</w:t>
      </w:r>
      <w:bookmarkStart w:id="0" w:name="_GoBack"/>
      <w:bookmarkEnd w:id="0"/>
      <w:r>
        <w:rPr>
          <w:rFonts w:ascii="Times New Roman" w:hAnsi="Times New Roman" w:cs="Times New Roman"/>
          <w:sz w:val="28"/>
          <w:szCs w:val="28"/>
        </w:rPr>
        <w:t xml:space="preserve"> постановлением Правительства Российской Федерации от 30.1</w:t>
      </w:r>
      <w:r>
        <w:rPr>
          <w:rFonts w:ascii="Times New Roman" w:hAnsi="Times New Roman" w:cs="Times New Roman"/>
          <w:sz w:val="28"/>
          <w:szCs w:val="28"/>
        </w:rPr>
        <w:t xml:space="preserve">1.2024 № 1693 (далее – Правила),</w:t>
      </w:r>
      <w:r>
        <w:rPr>
          <w:rFonts w:ascii="Times New Roman" w:hAnsi="Times New Roman" w:cs="Times New Roman"/>
          <w:sz w:val="28"/>
          <w:szCs w:val="28"/>
        </w:rPr>
        <w:t xml:space="preserve"> </w:t>
      </w:r>
      <w:r>
        <w:rPr>
          <w:rFonts w:ascii="Times New Roman" w:hAnsi="Times New Roman" w:cs="Times New Roman"/>
          <w:sz w:val="28"/>
          <w:szCs w:val="28"/>
        </w:rPr>
        <w:t xml:space="preserve">изменение границ участка недр в сторону его увеличение осуществляется в случае подтверждения с помощью геологической информации о недрах данных о том, что полезные ископаемые на участке недр, имеющим статус горного отвода и предоставленном в пользование пользователю недр, указанному в п. 17 настоящих Правил, или лицу, входящему с ним в одну группу лиц, находятся за пределами участка недр, границы которого предлагается изменить, поставлены на баланс по результатам работ по геологическому изучению недр или разведке месторождений полезных ископаемых, осуществленных за счет собственных и (или) привлеченных средств пользователя недр, проводившего работы по геологическому изучению недр или разведке месторождений полезных ископаемых на таком участке недр, и являются частью месторождения этих полезных ископаемых, частично расположенного на участке недр, границы которого предлагается изменить, на основании заключения государственной экспертизы запасов полезных ископаемых и подземных вод.</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Также, согласно </w:t>
      </w:r>
      <w:r>
        <w:rPr>
          <w:rFonts w:ascii="Times New Roman" w:hAnsi="Times New Roman" w:cs="Times New Roman"/>
          <w:sz w:val="28"/>
          <w:szCs w:val="28"/>
        </w:rPr>
        <w:t xml:space="preserve">пп</w:t>
      </w:r>
      <w:r>
        <w:rPr>
          <w:rFonts w:ascii="Times New Roman" w:hAnsi="Times New Roman" w:cs="Times New Roman"/>
          <w:sz w:val="28"/>
          <w:szCs w:val="28"/>
        </w:rPr>
        <w:t xml:space="preserve">. «в» п. 14 Порядка изменение границ участка недр в сторону его уменьшения осуществляется в случае изменение границ участка недр, предоставленного в пользование, при изменении границ сопредельного участка недр по основаниям, предусмотренным </w:t>
      </w:r>
      <w:r>
        <w:rPr>
          <w:rFonts w:ascii="Times New Roman" w:hAnsi="Times New Roman" w:cs="Times New Roman"/>
          <w:sz w:val="28"/>
          <w:szCs w:val="28"/>
        </w:rPr>
        <w:t xml:space="preserve">абз</w:t>
      </w:r>
      <w:r>
        <w:rPr>
          <w:rFonts w:ascii="Times New Roman" w:hAnsi="Times New Roman" w:cs="Times New Roman"/>
          <w:sz w:val="28"/>
          <w:szCs w:val="28"/>
        </w:rPr>
        <w:t xml:space="preserve">. 4 и 5 </w:t>
      </w:r>
      <w:r>
        <w:rPr>
          <w:rFonts w:ascii="Times New Roman" w:hAnsi="Times New Roman" w:cs="Times New Roman"/>
          <w:sz w:val="28"/>
          <w:szCs w:val="28"/>
        </w:rPr>
        <w:t xml:space="preserve">пп</w:t>
      </w:r>
      <w:r>
        <w:rPr>
          <w:rFonts w:ascii="Times New Roman" w:hAnsi="Times New Roman" w:cs="Times New Roman"/>
          <w:sz w:val="28"/>
          <w:szCs w:val="28"/>
        </w:rPr>
        <w:t xml:space="preserve">. «б» п. 9 настоящих Правил (при условии, что указанный сопредельный участок недр предоставлен в пользование пользователю недр, указанному в п. 17 настоящих Правил, или лицу, входящему с ним в одну группу лиц), на основании заключения государственной </w:t>
      </w:r>
      <w:r>
        <w:rPr>
          <w:rFonts w:ascii="Times New Roman" w:hAnsi="Times New Roman" w:cs="Times New Roman"/>
          <w:sz w:val="28"/>
          <w:szCs w:val="28"/>
        </w:rPr>
        <w:t xml:space="preserve">экспертизы запасов полезных ископаемых и подземных вод, поставленных на баланс, а также заявки об изменении границ сопредельного участка недр в сторону его увеличения по основаниям, предусмотренным </w:t>
      </w:r>
      <w:r>
        <w:rPr>
          <w:rFonts w:ascii="Times New Roman" w:hAnsi="Times New Roman" w:cs="Times New Roman"/>
          <w:sz w:val="28"/>
          <w:szCs w:val="28"/>
        </w:rPr>
        <w:t xml:space="preserve">абз</w:t>
      </w:r>
      <w:r>
        <w:rPr>
          <w:rFonts w:ascii="Times New Roman" w:hAnsi="Times New Roman" w:cs="Times New Roman"/>
          <w:sz w:val="28"/>
          <w:szCs w:val="28"/>
        </w:rPr>
        <w:t xml:space="preserve">. 4 и 5 </w:t>
      </w:r>
      <w:r>
        <w:rPr>
          <w:rFonts w:ascii="Times New Roman" w:hAnsi="Times New Roman" w:cs="Times New Roman"/>
          <w:sz w:val="28"/>
          <w:szCs w:val="28"/>
        </w:rPr>
        <w:t xml:space="preserve">пп</w:t>
      </w:r>
      <w:r>
        <w:rPr>
          <w:rFonts w:ascii="Times New Roman" w:hAnsi="Times New Roman" w:cs="Times New Roman"/>
          <w:sz w:val="28"/>
          <w:szCs w:val="28"/>
        </w:rPr>
        <w:t xml:space="preserve">. «б» п. 9 настоящих Правил.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Отмечаем, что в соответствии с п. 17 Порядка для изменения границ участка недр пользователь недр, владеющей лицензией на пользование участком недр, границы которого предлагается изменить (далее – Заявитель), подает заявку об изменении границ участка недр.</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 При этом, согласно </w:t>
      </w:r>
      <w:r>
        <w:rPr>
          <w:rFonts w:ascii="Times New Roman" w:hAnsi="Times New Roman" w:cs="Times New Roman"/>
          <w:sz w:val="28"/>
          <w:szCs w:val="28"/>
        </w:rPr>
        <w:t xml:space="preserve">абз</w:t>
      </w:r>
      <w:r>
        <w:rPr>
          <w:rFonts w:ascii="Times New Roman" w:hAnsi="Times New Roman" w:cs="Times New Roman"/>
          <w:sz w:val="28"/>
          <w:szCs w:val="28"/>
        </w:rPr>
        <w:t xml:space="preserve">. 2 п. 17 Порядка заявка об изменении границ участка недр в сторону его увеличения по основаниям, предусмотренным </w:t>
      </w:r>
      <w:r>
        <w:rPr>
          <w:rFonts w:ascii="Times New Roman" w:hAnsi="Times New Roman" w:cs="Times New Roman"/>
          <w:sz w:val="28"/>
          <w:szCs w:val="28"/>
        </w:rPr>
        <w:t xml:space="preserve">абз</w:t>
      </w:r>
      <w:r>
        <w:rPr>
          <w:rFonts w:ascii="Times New Roman" w:hAnsi="Times New Roman" w:cs="Times New Roman"/>
          <w:sz w:val="28"/>
          <w:szCs w:val="28"/>
        </w:rPr>
        <w:t xml:space="preserve">. 4 и 5 </w:t>
      </w:r>
      <w:r>
        <w:rPr>
          <w:rFonts w:ascii="Times New Roman" w:hAnsi="Times New Roman" w:cs="Times New Roman"/>
          <w:sz w:val="28"/>
          <w:szCs w:val="28"/>
        </w:rPr>
        <w:t xml:space="preserve">пп</w:t>
      </w:r>
      <w:r>
        <w:rPr>
          <w:rFonts w:ascii="Times New Roman" w:hAnsi="Times New Roman" w:cs="Times New Roman"/>
          <w:sz w:val="28"/>
          <w:szCs w:val="28"/>
        </w:rPr>
        <w:t xml:space="preserve">. «б» п. 9 настоящих Правил, и заявка об изменении границ участка недр в сторону его уменьшения по основанию, предусмотренному подпунктом «в» п. 14 настоящих Правил, подаются одновременно.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Требования к содержанию заявочных материалов регламентированы п. 18-19 Порядка. </w:t>
      </w:r>
    </w:p>
    <w:p>
      <w:pPr>
        <w:spacing w:after="0" w:line="240" w:lineRule="auto"/>
        <w:ind w:left="-567" w:firstLine="425"/>
        <w:jc w:val="both"/>
        <w:rPr>
          <w:rFonts w:ascii="Times New Roman" w:hAnsi="Times New Roman" w:cs="Times New Roman"/>
          <w:sz w:val="28"/>
          <w:szCs w:val="28"/>
        </w:rPr>
      </w:pPr>
      <w:r>
        <w:rPr>
          <w:rFonts w:ascii="Times New Roman" w:hAnsi="Times New Roman" w:cs="Times New Roman"/>
          <w:sz w:val="28"/>
          <w:szCs w:val="28"/>
        </w:rPr>
        <w:t xml:space="preserve">Согласно п. 20 Порядка заявитель подает заявку об изменении границ участка недр, за исключением участка недр местного значения, и прилагаемые к ней документы и сведения в Федеральное агентство по недропользованию или его территориальный орган, в том числе с использованием портала </w:t>
      </w:r>
      <w:r>
        <w:rPr>
          <w:rFonts w:ascii="Times New Roman" w:hAnsi="Times New Roman" w:cs="Times New Roman"/>
          <w:sz w:val="28"/>
          <w:szCs w:val="28"/>
        </w:rPr>
        <w:t xml:space="preserve">недропользователей</w:t>
      </w:r>
      <w:r>
        <w:rPr>
          <w:rFonts w:ascii="Times New Roman" w:hAnsi="Times New Roman" w:cs="Times New Roman"/>
          <w:sz w:val="28"/>
          <w:szCs w:val="28"/>
        </w:rPr>
        <w:t xml:space="preserve"> и геологических организаций «Личный кабинет </w:t>
      </w:r>
      <w:r>
        <w:rPr>
          <w:rFonts w:ascii="Times New Roman" w:hAnsi="Times New Roman" w:cs="Times New Roman"/>
          <w:sz w:val="28"/>
          <w:szCs w:val="28"/>
        </w:rPr>
        <w:t xml:space="preserve">недропользователя</w:t>
      </w:r>
      <w:r>
        <w:rPr>
          <w:rFonts w:ascii="Times New Roman" w:hAnsi="Times New Roman" w:cs="Times New Roman"/>
          <w:sz w:val="28"/>
          <w:szCs w:val="28"/>
        </w:rPr>
        <w:t xml:space="preserve">» на официальном сайте Федерального агентства по недропользованию в информационно</w:t>
      </w:r>
      <w:r>
        <w:rPr>
          <w:rFonts w:ascii="Times New Roman" w:hAnsi="Times New Roman" w:cs="Times New Roman"/>
          <w:sz w:val="28"/>
          <w:szCs w:val="28"/>
        </w:rPr>
        <w:t xml:space="preserve">-</w:t>
      </w:r>
      <w:r>
        <w:rPr>
          <w:rFonts w:ascii="Times New Roman" w:hAnsi="Times New Roman" w:cs="Times New Roman"/>
          <w:sz w:val="28"/>
          <w:szCs w:val="28"/>
        </w:rPr>
        <w:t xml:space="preserve">телекоммуникационной сети «Интернет». </w:t>
      </w:r>
    </w:p>
    <w:p>
      <w:pPr>
        <w:spacing w:after="0" w:line="240" w:lineRule="auto"/>
        <w:ind w:left="-567" w:firstLine="425"/>
        <w:jc w:val="both"/>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DejaVuSans">
    <w:panose1 w:val="020B060303080402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styleId="fontstyle01" w:customStyle="1">
    <w:name w:val="fontstyle01"/>
    <w:basedOn w:val="a0"/>
    <w:rPr>
      <w:rFonts w:hint="default" w:ascii="DejaVuSans" w:hAnsi="DejaVuSans"/>
      <w:b w:val="0"/>
      <w:bCs w:val="0"/>
      <w:i w:val="0"/>
      <w:iCs w:val="0"/>
      <w:color w:val="000000"/>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haracters>5754</Characters>
  <CharactersWithSpaces>6750</CharactersWithSpaces>
  <Company/>
  <DocSecurity>0</DocSecurity>
  <HyperlinksChanged>false</HyperlinksChanged>
  <Lines>47</Lines>
  <LinksUpToDate>false</LinksUpToDate>
  <Pages>1</Pages>
  <Paragraphs>13</Paragraphs>
  <ScaleCrop>false</ScaleCrop>
  <SharedDoc>false</SharedDoc>
  <Template>Normal</Template>
  <TotalTime>663</TotalTime>
  <Words>1009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Деева Татьяна Валерьевна</dc:creator>
  <cp:keywords/>
  <dc:description/>
  <cp:lastModifiedBy>maleksandrova</cp:lastModifiedBy>
  <cp:revision>76</cp:revision>
  <dcterms:created xsi:type="dcterms:W3CDTF">2021-08-11T11:06:00Z</dcterms:created>
  <dcterms:modified xsi:type="dcterms:W3CDTF">2026-05-29T12:34:00Z</dcterms:modified>
</cp:coreProperties>
</file>