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ПУБЛИЧНАЯ ДЕКЛАРАЦИЯ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целей и задач Федерального агентства по недропользованию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на 2025 год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2025 г.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pageBreakBefore/>
        <w:spacing w:after="0" w:line="240" w:lineRule="auto"/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  <w:t xml:space="preserve">ОСНОВНЫЕ НАПРАВЛЕНИЯ ДЕЯТЕЛЬНОСТИ ФЕДЕРАЛЬНОГО АГЕНТСТВА ПО НЕДРОПОЛЬЗОВАНИЮ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В соответствии с действующим законодательством Российская Федер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ация является собственником недр территории страны и ее континентального шельфа, а Федеральное агентство по недропользованию (Роснедра) осуществляет функции по оказанию государственных услуг и управлению государственным имуществом в сфере недропользования.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Основными направлениями деятельности Роснедр являются: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</w:p>
    <w:p>
      <w:pPr>
        <w:pStyle w:val="897"/>
        <w:numPr>
          <w:ilvl w:val="0"/>
          <w:numId w:val="3"/>
        </w:numPr>
        <w:ind w:left="0" w:right="0" w:firstLine="283"/>
        <w:spacing w:before="0"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организация регионального геологического изучения недр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97"/>
        <w:numPr>
          <w:ilvl w:val="0"/>
          <w:numId w:val="3"/>
        </w:numPr>
        <w:ind w:left="0" w:right="0" w:firstLine="283"/>
        <w:spacing w:before="0"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организация работ по воспроизводству минерально-сырьевой базы России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97"/>
        <w:numPr>
          <w:ilvl w:val="0"/>
          <w:numId w:val="3"/>
        </w:numPr>
        <w:ind w:left="0" w:right="0" w:firstLine="283"/>
        <w:spacing w:before="0"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организационное обеспечение государственной системы лицензирования пользован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ия недрами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897"/>
        <w:numPr>
          <w:ilvl w:val="0"/>
          <w:numId w:val="3"/>
        </w:numPr>
        <w:ind w:left="0" w:right="0" w:firstLine="283"/>
        <w:spacing w:before="0" w:after="0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сбор, хранение и предоставление в пользование геологической информации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  <w:t xml:space="preserve">ОРГАНИЗАЦИЯ РЕГИОНАЛЬНОГО ГЕОЛОГИЧЕСКОГО ИЗУЧЕНИЯ НЕДР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97"/>
        <w:ind w:left="0"/>
        <w:spacing w:before="0" w:after="0"/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Цель 1. Повышение степени геологической, геофизической и гидрогеологической изученности территории РФ и ее континентал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ьного шельфа,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государственный мониторинг состояния недр 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</w:p>
    <w:p>
      <w:pPr>
        <w:pStyle w:val="897"/>
        <w:ind w:left="0"/>
        <w:spacing w:before="0" w:after="0"/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Задачи, решаемые для достижения цели в 2025 году</w:t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Работы по региональному геологическому изучению недр в значительной степени будут ориентированы на изучение приоритетных территорий, установленных нормативными актами Правительства Российской Федерации, включающих: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Дальневосточный федеральный округ и Байкальский регион;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Арктическую зону Российской Федерации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Республику Крым, г. Севастополь и Северо-Кавказский федеральный округ;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территории ДНР, ЛНР, Запорожской и Херсонской областей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white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  <w:t xml:space="preserve">Дополнительно планируется выполнение региональных геолого-съёмочных работ масштаба 1:200 000 на территории Сибирского и Дальневосточного федеральных округов</w:t>
      </w:r>
      <w:r>
        <w:rPr>
          <w:sz w:val="28"/>
          <w:szCs w:val="28"/>
          <w:highlight w:val="white"/>
        </w:rPr>
        <w:t xml:space="preserve"> в </w:t>
      </w:r>
      <w:r>
        <w:rPr>
          <w:sz w:val="28"/>
          <w:szCs w:val="28"/>
          <w:highlight w:val="white"/>
        </w:rPr>
        <w:t xml:space="preserve">рамках 2 этапа Федерального проекта «Геология: возрождение легенды»</w:t>
      </w:r>
      <w:r>
        <w:rPr>
          <w:sz w:val="28"/>
          <w:szCs w:val="28"/>
          <w:highlight w:val="white"/>
        </w:rPr>
        <w:t xml:space="preserve">.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white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white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Региональные работы в 202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5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 году будут нацелены на: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создание и обновление геологических основ недропользования, мелко- и среднемасштабных геолого-геофизических, гидрогеологических и инженерно-геологических карт, обеспечение прироста геологической, гравиметрической и гидрогеологической изученности терри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тории Рос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сии, Арктики и архипелага Шпицберген в объёмах, предусмотренных скорректированной подпрограммой «Воспроизводство минерально-сырьевой базы, геологическое изучение недр» Государственной программы «Воспроизводство и использование природных ресурсов», а также </w:t>
      </w:r>
      <w:r>
        <w:rPr>
          <w:sz w:val="28"/>
          <w:szCs w:val="28"/>
          <w:highlight w:val="white"/>
        </w:rPr>
        <w:t xml:space="preserve">Федерального проекта «Геология: возрождение легенды»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white"/>
          <w:lang w:eastAsia="ru-RU"/>
        </w:rPr>
        <w:t xml:space="preserve"> 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расширение программы актуализации Госгеолкарты-1000/3 в режиме мониторинга с формированием единой геолого-картографической модели территории Российской Федерации;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продолжение перехода к новым технологиям вэб-доступа и обработки данных с формированием единой электронной картографической основы сводного масштабного уровня;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формирование фонда перспективных площадей для постановки поисковых работ на высоколиквидные и остродефицитные виды полезных ископаемых, 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white"/>
          <w:lang w:eastAsia="ru-RU"/>
        </w:rPr>
        <w:t xml:space="preserve">в том числе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 территории Сибирского и Дальневосточного федеральных округов</w:t>
      </w:r>
      <w:r>
        <w:rPr>
          <w:sz w:val="28"/>
          <w:szCs w:val="28"/>
          <w:highlight w:val="white"/>
        </w:rPr>
        <w:t xml:space="preserve"> в </w:t>
      </w:r>
      <w:r>
        <w:rPr>
          <w:sz w:val="28"/>
          <w:szCs w:val="28"/>
          <w:highlight w:val="white"/>
        </w:rPr>
        <w:t xml:space="preserve">рамках 2 этапа Федерального проекта «Геология: возрождение легенды»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создание и актуализацию сводных и обзорных карт нового поколения для решения проблем воспроизводства МСБ, обеспечения геополитических интересов России в Арктике и Антарктике;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геологическое обеспечение военно-инженерных задач;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выполнение мелко- и среднемасштабных гидрогеологической и инженерно-геологической съёмок на Дальнем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 Востоке, в Арктической зоне и регионах России с напряжённой водохозяйственной обстановкой для выявления перспективных участков для постановки поисково-оценочных работ на подземные воды и инженерно-геологического обоснования районов перспективного освоения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выполнение работ по мониторингу опасных эндогенных геологических процессов, включая оценку сейсмогеодинамическо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го состояния Северо-Кавказского, Алтае-Саянского, Байкальского и Дальневосточного сейсмоопасных регионов с направлением информационной продукции в МЧС России и Российский экспертный совет по прогнозированию землетрясений и оценке сейсмической опасности РАН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выполнение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 работ по государственному мониторингу состояния недр на территории Российской Федерации, включая оценку и прогнозирование состояния подземных вод, опасных экзогенных геологических процессов, подготовку информационных бюллетеней, сводок, сезонных прогнозов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проведение наблюдений за состоянием недр в границах Байкальской природной территории в рамках федерального проекта «Чистый воздух» национального проекта «Экологическое благополучие»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выполнение работ по созданию государственной опорной наблюдательной сети государственного мониторинга состояния недр на территориях Донецкой Народной Республики, Луганской Народной Республики, Запорожской области, Херсонской области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совершенствование систем оперативного сбора и предоставления геологической информации, системы традиционного хранения и предоставления архивных данных;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продолжение работ по цифровой трансформации всех бизнес процессов Роснедр в части оказания государственных услуг и реализации государственных функций в области недропользования, переход государственного управления фондом недр к управлению на основе данных.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Индикаторы достижения цели</w:t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PT Astra Serif" w:hAnsi="PT Astra Serif" w:eastAsia="Calibri" w:cs="PT Astra Serif"/>
          <w:bCs/>
          <w:sz w:val="28"/>
          <w:szCs w:val="28"/>
        </w:rPr>
      </w:pPr>
      <w:r>
        <w:rPr>
          <w:rFonts w:ascii="PT Astra Serif" w:hAnsi="PT Astra Serif" w:eastAsia="Calibri" w:cs="PT Astra Serif"/>
          <w:bCs/>
          <w:sz w:val="28"/>
          <w:szCs w:val="28"/>
        </w:rPr>
        <w:t xml:space="preserve">Планируется достижение следующих показателей:</w:t>
      </w:r>
      <w:r>
        <w:rPr>
          <w:rFonts w:ascii="PT Astra Serif" w:hAnsi="PT Astra Serif" w:eastAsia="Calibri" w:cs="PT Astra Serif"/>
          <w:bCs/>
          <w:sz w:val="28"/>
          <w:szCs w:val="28"/>
        </w:rPr>
      </w:r>
      <w:r>
        <w:rPr>
          <w:rFonts w:ascii="PT Astra Serif" w:hAnsi="PT Astra Serif" w:eastAsia="Calibri" w:cs="PT Astra Serif"/>
          <w:bCs/>
          <w:sz w:val="28"/>
          <w:szCs w:val="28"/>
        </w:rPr>
      </w:r>
    </w:p>
    <w:p>
      <w:pPr>
        <w:ind w:firstLine="0"/>
        <w:jc w:val="both"/>
        <w:spacing w:before="0" w:beforeAutospacing="0" w:after="0" w:afterAutospacing="0" w:line="240" w:lineRule="auto"/>
        <w:rPr>
          <w:rFonts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прирост мелкомасштабной геологической изученности территории Российской Федерации и е</w:t>
      </w:r>
      <w:r>
        <w:rPr>
          <w:rFonts w:ascii="PT Astra Serif" w:hAnsi="PT Astra Serif" w:eastAsia="Calibri" w:cs="PT Astra Serif"/>
          <w:bCs/>
          <w:sz w:val="28"/>
          <w:szCs w:val="28"/>
          <w:lang w:val="ru-RU"/>
        </w:rPr>
        <w:t xml:space="preserve">ё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 континентального шельфа в объ</w:t>
      </w:r>
      <w:r>
        <w:rPr>
          <w:rFonts w:ascii="PT Astra Serif" w:hAnsi="PT Astra Serif" w:eastAsia="Calibri" w:cs="PT Astra Serif"/>
          <w:bCs/>
          <w:sz w:val="28"/>
          <w:szCs w:val="28"/>
          <w:lang w:val="ru-RU"/>
        </w:rPr>
        <w:t xml:space="preserve">ё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ме 6,03 % (1 407,7 тыс.км</w:t>
      </w:r>
      <w:r>
        <w:rPr>
          <w:rFonts w:ascii="PT Astra Serif" w:hAnsi="PT Astra Serif" w:eastAsia="Calibri" w:cs="PT Astra Serif"/>
          <w:bCs/>
          <w:sz w:val="28"/>
          <w:szCs w:val="28"/>
          <w:vertAlign w:val="superscript"/>
        </w:rPr>
        <w:t xml:space="preserve">2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), в т.ч. в пределах континентального шельфа - 0,71% (165,5 тыс. км</w:t>
      </w:r>
      <w:r>
        <w:rPr>
          <w:rFonts w:ascii="PT Astra Serif" w:hAnsi="PT Astra Serif" w:eastAsia="Calibri" w:cs="PT Astra Serif"/>
          <w:bCs/>
          <w:sz w:val="28"/>
          <w:szCs w:val="28"/>
          <w:vertAlign w:val="superscript"/>
        </w:rPr>
        <w:t xml:space="preserve">2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);</w:t>
      </w:r>
      <w:r>
        <w:rPr>
          <w:rFonts w:ascii="PT Astra Serif" w:hAnsi="PT Astra Serif" w:eastAsia="Calibri" w:cs="PT Astra Serif"/>
          <w:bCs/>
          <w:sz w:val="28"/>
          <w:szCs w:val="28"/>
        </w:rPr>
      </w:r>
      <w:r>
        <w:rPr>
          <w:rFonts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подготовка к изданию 3 (издание 10) комплектов Госгеолкарты-1000 третьего поколения;</w:t>
      </w:r>
      <w:r>
        <w:rPr>
          <w:rFonts w:ascii="PT Astra Serif" w:hAnsi="PT Astra Serif" w:eastAsia="Calibri" w:cs="PT Astra Serif"/>
          <w:bCs/>
          <w:sz w:val="28"/>
          <w:szCs w:val="28"/>
        </w:rPr>
      </w:r>
      <w:r>
        <w:rPr>
          <w:rFonts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прирост среднемасштабной геологической изученности в объ</w:t>
      </w:r>
      <w:r>
        <w:rPr>
          <w:rFonts w:ascii="PT Astra Serif" w:hAnsi="PT Astra Serif" w:eastAsia="Calibri" w:cs="PT Astra Serif"/>
          <w:bCs/>
          <w:sz w:val="28"/>
          <w:szCs w:val="28"/>
          <w:lang w:val="ru-RU"/>
        </w:rPr>
        <w:t xml:space="preserve">ё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ме 65 500 км</w:t>
      </w:r>
      <w:r>
        <w:rPr>
          <w:rFonts w:ascii="PT Astra Serif" w:hAnsi="PT Astra Serif" w:eastAsia="Calibri" w:cs="PT Astra Serif"/>
          <w:bCs/>
          <w:sz w:val="28"/>
          <w:szCs w:val="28"/>
          <w:vertAlign w:val="superscript"/>
        </w:rPr>
        <w:t xml:space="preserve">2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, будет подготовлено к изданию 38 номенклатурных листов Госгеолкарты-200, издано 40 номенклатурных листов;</w:t>
      </w:r>
      <w:r>
        <w:rPr>
          <w:rFonts w:ascii="PT Astra Serif" w:hAnsi="PT Astra Serif" w:eastAsia="Calibri" w:cs="PT Astra Serif"/>
          <w:bCs/>
          <w:sz w:val="28"/>
          <w:szCs w:val="28"/>
        </w:rPr>
      </w:r>
      <w:r>
        <w:rPr>
          <w:rFonts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прирост фонда перспективных площадей </w:t>
      </w:r>
      <w:r>
        <w:rPr>
          <w:rFonts w:ascii="PT Astra Serif" w:hAnsi="PT Astra Serif" w:eastAsia="Calibri" w:cs="PT Astra Serif"/>
          <w:bCs/>
          <w:sz w:val="28"/>
          <w:szCs w:val="28"/>
          <w:highlight w:val="none"/>
        </w:rPr>
        <w:t xml:space="preserve">(на 38 участков) 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для постановки поисковых работ на высоколиквидные и остродефицитные виды полезных ископаемых преимущественно в Сибири и на Дальнем Востоке;</w:t>
      </w:r>
      <w:r>
        <w:rPr>
          <w:rFonts w:ascii="PT Astra Serif" w:hAnsi="PT Astra Serif" w:eastAsia="Calibri" w:cs="PT Astra Serif"/>
          <w:bCs/>
          <w:sz w:val="28"/>
          <w:szCs w:val="28"/>
        </w:rPr>
      </w:r>
      <w:r>
        <w:rPr>
          <w:rFonts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прирост гравиметрической изученности в объ</w:t>
      </w:r>
      <w:r>
        <w:rPr>
          <w:rFonts w:ascii="PT Astra Serif" w:hAnsi="PT Astra Serif" w:eastAsia="Calibri" w:cs="PT Astra Serif"/>
          <w:bCs/>
          <w:sz w:val="28"/>
          <w:szCs w:val="28"/>
          <w:lang w:val="ru-RU"/>
        </w:rPr>
        <w:t xml:space="preserve">ё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ме 7 600 км</w:t>
      </w:r>
      <w:r>
        <w:rPr>
          <w:rFonts w:ascii="PT Astra Serif" w:hAnsi="PT Astra Serif" w:eastAsia="Calibri" w:cs="PT Astra Serif"/>
          <w:bCs/>
          <w:sz w:val="28"/>
          <w:szCs w:val="28"/>
          <w:vertAlign w:val="superscript"/>
        </w:rPr>
        <w:t xml:space="preserve">2</w:t>
      </w:r>
      <w:r>
        <w:rPr>
          <w:rFonts w:ascii="PT Astra Serif" w:hAnsi="PT Astra Serif" w:eastAsia="Calibri" w:cs="PT Astra Serif"/>
          <w:bCs/>
          <w:sz w:val="28"/>
          <w:szCs w:val="28"/>
        </w:rPr>
        <w:t xml:space="preserve">;</w:t>
      </w:r>
      <w:r>
        <w:rPr>
          <w:rFonts w:ascii="PT Astra Serif" w:hAnsi="PT Astra Serif" w:eastAsia="Calibri" w:cs="PT Astra Serif"/>
          <w:bCs/>
          <w:sz w:val="28"/>
          <w:szCs w:val="28"/>
        </w:rPr>
      </w:r>
      <w:r>
        <w:rPr>
          <w:rFonts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прирост государственной сети опорных геолого-геофизических профилей - выполнение полевых геофизических работ на фрагменте опорного профиля 4-СБй в объ</w:t>
      </w: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 xml:space="preserve">ё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ме </w:t>
      </w:r>
      <w:r>
        <w:rPr>
          <w:rFonts w:hint="default" w:ascii="PT Astra Serif" w:hAnsi="PT Astra Serif" w:eastAsia="Calibri" w:cs="PT Astra Serif"/>
          <w:bCs/>
          <w:sz w:val="28"/>
          <w:szCs w:val="28"/>
          <w:highlight w:val="none"/>
        </w:rPr>
        <w:t xml:space="preserve">500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 пог.км;</w:t>
      </w:r>
      <w:r>
        <w:rPr>
          <w:rFonts w:ascii="PT Astra Serif" w:hAnsi="PT Astra Serif" w:eastAsia="Calibri" w:cs="PT Astra Serif"/>
          <w:bCs/>
          <w:sz w:val="28"/>
          <w:szCs w:val="28"/>
        </w:rPr>
      </w:r>
      <w:r>
        <w:rPr>
          <w:rFonts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hint="default"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прирост мелкомасштабной гидрогеологической и инженерно-геологической изученности территории Российской Федерации масштаба 1:1 000 000 – 84,0 тыс. км</w:t>
      </w:r>
      <w:r>
        <w:rPr>
          <w:rFonts w:hint="default" w:ascii="PT Astra Serif" w:hAnsi="PT Astra Serif" w:eastAsia="Calibri" w:cs="PT Astra Serif"/>
          <w:bCs/>
          <w:sz w:val="28"/>
          <w:szCs w:val="28"/>
          <w:vertAlign w:val="superscript"/>
        </w:rPr>
        <w:t xml:space="preserve">2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;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hint="default"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прирост среднемасштабной гидрогеологической изученности территории Российской Федерации масштаба 1:200 000 – 8,3 тыс. км</w:t>
      </w:r>
      <w:r>
        <w:rPr>
          <w:rFonts w:hint="default" w:ascii="PT Astra Serif" w:hAnsi="PT Astra Serif" w:eastAsia="Calibri" w:cs="PT Astra Serif"/>
          <w:bCs/>
          <w:sz w:val="28"/>
          <w:szCs w:val="28"/>
          <w:vertAlign w:val="superscript"/>
        </w:rPr>
        <w:t xml:space="preserve">2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;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hint="default"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составление комплектов специализированных гидрогеологических карт для захоронения жидких отходов опасных производств;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hint="default"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проведение работ по государственному мониторингу состояния недр на 958 пунктах наблюдательной сети за экзогенными геологическими процессами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, 84 наблюдательных скважинах гидрогеодеформационного поля и 8 полигонах, включающих 87 пунктов наблюдения по геофизическому и газогеохимическому мониторингу за эндогенными геологическими процессами, и 6 372 пунктах наблюдений за состоянием подземных вод; 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hint="default" w:ascii="PT Astra Serif" w:hAnsi="PT Astra Serif" w:eastAsia="Calibri" w:cs="PT Astra Serif"/>
          <w:bCs/>
          <w:sz w:val="28"/>
          <w:szCs w:val="28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проведение наблюдений за состоянием недр в границах Байкальской природной территории на 59 пунктах наблюдательной сети за экзогенными геологическими процессами, 19 наблюдательных скважинах гидрогеодеформационного поля и 1 полигоне, включающем 33 пункт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а наблюдения по геофизическому и газогеохимическому мониторингу за эндогенными геологическими процессами, и 102 пунктах наблюдений за состоянием подземных вод в рамках федерального проекта «Чистый воздух» национального проекта «Экологическое благополучие»;</w:t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  <w:r>
        <w:rPr>
          <w:rFonts w:hint="default" w:ascii="PT Astra Serif" w:hAnsi="PT Astra Serif" w:eastAsia="Calibri" w:cs="PT Astra Serif"/>
          <w:bCs/>
          <w:sz w:val="28"/>
          <w:szCs w:val="28"/>
        </w:rPr>
      </w:r>
    </w:p>
    <w:p>
      <w:pPr>
        <w:ind w:left="0" w:right="0" w:firstLine="283"/>
        <w:jc w:val="both"/>
        <w:spacing w:before="0" w:beforeAutospacing="0" w:after="0" w:afterAutospacing="0" w:line="240" w:lineRule="auto"/>
        <w:rPr>
          <w:rFonts w:ascii="PT Astra Serif" w:hAnsi="PT Astra Serif" w:eastAsia="Calibri" w:cs="PT Astra Serif"/>
          <w:sz w:val="28"/>
          <w:szCs w:val="28"/>
          <w:highlight w:val="none"/>
        </w:rPr>
      </w:pPr>
      <w:r>
        <w:rPr>
          <w:rFonts w:hint="default" w:ascii="PT Astra Serif" w:hAnsi="PT Astra Serif" w:eastAsia="Calibri" w:cs="PT Astra Serif"/>
          <w:bCs/>
          <w:sz w:val="28"/>
          <w:szCs w:val="28"/>
          <w:lang w:val="ru-RU"/>
        </w:rPr>
        <w:tab/>
      </w:r>
      <w:r>
        <w:rPr>
          <w:rFonts w:hint="default" w:ascii="PT Astra Serif" w:hAnsi="PT Astra Serif" w:eastAsia="Calibri" w:cs="PT Astra Serif"/>
          <w:bCs/>
          <w:sz w:val="28"/>
          <w:szCs w:val="28"/>
        </w:rPr>
        <w:t xml:space="preserve">создание 38 новых пунктов государственной опорной наблюдательной сети государственного мониторинга состояния недр на территориях Донецкой Народной Республики, Луганской Народной Республики, Херсонской и Запорожской областей.</w:t>
      </w:r>
      <w:r>
        <w:rPr>
          <w:rFonts w:ascii="PT Astra Serif" w:hAnsi="PT Astra Serif" w:eastAsia="Calibri" w:cs="PT Astra Serif"/>
          <w:sz w:val="28"/>
          <w:szCs w:val="28"/>
          <w:highlight w:val="none"/>
        </w:rPr>
      </w:r>
      <w:r>
        <w:rPr>
          <w:rFonts w:ascii="PT Astra Serif" w:hAnsi="PT Astra Serif" w:eastAsia="Calibri" w:cs="PT Astra Serif"/>
          <w:sz w:val="28"/>
          <w:szCs w:val="28"/>
          <w:highlight w:val="none"/>
        </w:rPr>
      </w:r>
    </w:p>
    <w:p>
      <w:pPr>
        <w:ind w:firstLine="0"/>
        <w:jc w:val="both"/>
        <w:spacing w:before="0" w:beforeAutospacing="0" w:after="0" w:afterAutospacing="0" w:line="240" w:lineRule="auto"/>
        <w:rPr>
          <w:rFonts w:ascii="PT Astra Serif" w:hAnsi="PT Astra Serif" w:eastAsia="Calibri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Calibri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Calibri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Calibri" w:cs="PT Astra Serif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Цель 2. Обеспечение международно-правового оформления внешних границ континентального шельфа Российской Фе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дерации в Северном Ледовитом океане.</w:t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bCs/>
          <w:i/>
          <w:color w:val="e16a0a" w:themeColor="accent6" w:themeShade="BF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i/>
          <w:color w:val="e16a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i/>
          <w:color w:val="e16a0a" w:themeColor="accent6" w:themeShade="BF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Задачи, решаемые для достижени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я цели в 2025 году</w:t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pStyle w:val="897"/>
        <w:ind w:left="0" w:firstLine="708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Продолжение работ в Комиссии ООН по границам континентального шельфа по обоснованию внешней границы континентального шельфа Российской Федерации в Северном Ледовитом океане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.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spacing w:after="0" w:line="240" w:lineRule="auto"/>
        <w:rPr>
          <w:rFonts w:hint="default" w:ascii="PT Astra Serif" w:hAnsi="PT Astra Serif" w:cs="PT Astra Serif"/>
          <w:b/>
          <w:color w:val="e46c0a" w:themeColor="accent6" w:themeShade="BF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cs="PT Astra Serif"/>
          <w:b/>
          <w:color w:val="e46c0a" w:themeColor="accent6" w:themeShade="BF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cs="PT Astra Serif"/>
          <w:b/>
          <w:color w:val="e46c0a" w:themeColor="accent6" w:themeShade="BF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cs="PT Astra Serif"/>
          <w:b/>
          <w:color w:val="e46c0a" w:themeColor="accent6" w:themeShade="BF"/>
          <w:sz w:val="28"/>
          <w:szCs w:val="28"/>
          <w:highlight w:val="none"/>
          <w:lang w:val="en-US" w:eastAsia="ru-RU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Индикаторы достижения цели</w:t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hint="default" w:ascii="PT Astra Serif" w:hAnsi="PT Astra Serif" w:cs="PT Astra Serif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 w:cs="PT Astra Serif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Будут сформированы геолого-геофизические, морфологические обоснования</w:t>
      </w:r>
      <w:r>
        <w:rPr>
          <w:rFonts w:hint="default" w:ascii="PT Astra Serif" w:hAnsi="PT Astra Serif" w:cs="PT Astra Serif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PT Astra Serif" w:hAnsi="PT Astra Serif" w:cs="PT Astra Serif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международно-правового оформления внешних границ континентального шельфа</w:t>
      </w:r>
      <w:r>
        <w:rPr>
          <w:rFonts w:hint="default" w:ascii="PT Astra Serif" w:hAnsi="PT Astra Serif" w:cs="PT Astra Serif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PT Astra Serif" w:hAnsi="PT Astra Serif" w:cs="PT Astra Serif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Российской Федерации в Северном Ледовитом океане.</w:t>
      </w:r>
      <w:r>
        <w:rPr>
          <w:rFonts w:hint="default" w:ascii="PT Astra Serif" w:hAnsi="PT Astra Serif" w:cs="PT Astra Serif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r>
      <w:r>
        <w:rPr>
          <w:rFonts w:hint="default" w:ascii="PT Astra Serif" w:hAnsi="PT Astra Serif" w:cs="PT Astra Serif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r>
    </w:p>
    <w:p>
      <w:pPr>
        <w:pStyle w:val="897"/>
        <w:ind w:left="0" w:right="0" w:firstLine="283"/>
        <w:spacing w:before="0" w:after="0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</w:p>
    <w:p>
      <w:pPr>
        <w:pStyle w:val="897"/>
        <w:ind w:left="0" w:right="0" w:firstLine="283"/>
        <w:spacing w:after="0"/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Цель 3. Обеспечение геополитических интересов Российской Фе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дерации в Арктике, Антарктике и Мировом океане</w:t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pStyle w:val="897"/>
        <w:ind w:left="0" w:right="0" w:firstLine="283"/>
        <w:spacing w:after="0"/>
        <w:rPr>
          <w:rFonts w:ascii="PT Astra Serif" w:hAnsi="PT Astra Serif" w:cs="PT Astra Serif"/>
          <w:b/>
          <w:bCs/>
          <w:i/>
          <w:color w:val="e16a0a" w:themeColor="accent6" w:themeShade="BF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76923c" w:themeColor="accent3" w:themeShade="BF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i/>
          <w:color w:val="e16a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i/>
          <w:color w:val="e16a0a" w:themeColor="accent6" w:themeShade="BF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Задачи, решаемые для достижения цели в 2025 году</w:t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Осуществление экспедиционной деятельности в Антарктике, включающей: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геолого-геофизическое изучение и оценку минерально-сырьевого потенциала недр Антарктиды в составе 70 РАЭ; соста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вление сводных карт геологического содержания масштаба 1:2 500 000 западного сектора Восточной Антарктиды (западная часть Земли Королевы Мод). Полевые работы: геофизические исследования в ледовой скважине в рамках совместного российско-китайского проекта. 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Осуществление 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м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ониторинга геологической карты архипелага Шпицберген и прилегающих акваторий масштаба 1:1 000 000 (основной этап). Полевые, камеральные работы, лабораторно-аналитические исследования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: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pStyle w:val="897"/>
        <w:ind w:left="0" w:right="0" w:firstLine="283"/>
        <w:spacing w:before="0" w:after="0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ab/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выполнение полевых,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 лабораторно-аналитических и камеральных исследований 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на ключевом опорном участке района Кросс-фьорд и прилегающей территории (западная часть Земли Хаакона VII и южная часть Земли Альберта I)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 с целью 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  <w:t xml:space="preserve">доизучения региональных особенностей геологического строения и создание комплекта актуализированных среднемасштабных карт-врезок ключевого опорного участка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97"/>
        <w:ind w:left="0" w:firstLine="0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ascii="PT Astra Serif" w:hAnsi="PT Astra Serif" w:cs="PT Astra Serif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Индикаторы достижения цели</w:t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  <w:t xml:space="preserve">Создание мелкомасштабных сводных и обзорных карт геологического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  <w:t xml:space="preserve">содержания, оценка минерагенического потенциала Антарктиды и ее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val="en-US" w:eastAsia="ru-RU"/>
        </w:rPr>
        <w:t xml:space="preserve">`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  <w:t xml:space="preserve"> окраинных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  <w:t xml:space="preserve">морей.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</w:r>
    </w:p>
    <w:p>
      <w:pPr>
        <w:ind w:left="0" w:right="0" w:firstLine="283"/>
        <w:jc w:val="both"/>
        <w:spacing w:after="0" w:line="240" w:lineRule="auto"/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  <w:t xml:space="preserve">Геологическая карта масштаба 1:1 000 000 архипелага Шпицберген и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  <w:t xml:space="preserve">прилегающей акватории переводится в режим мониторинга, будут составлены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  <w:t xml:space="preserve">детальные карты масштаба 1:100 000 отдельных районов западной части Архипелага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  <w:t xml:space="preserve">по результатам наземных полевых работ для обеспечения геополитических интересов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  <w:t xml:space="preserve">Российской Федерации в Арктике, Антарктике и Мировом океане.</w:t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Times New Roman" w:cs="PT Astra Serif"/>
          <w:color w:val="auto"/>
          <w:sz w:val="28"/>
          <w:szCs w:val="28"/>
          <w:highlight w:val="none"/>
          <w:lang w:eastAsia="ru-RU"/>
        </w:rPr>
      </w:r>
    </w:p>
    <w:p>
      <w:pPr>
        <w:pStyle w:val="897"/>
        <w:ind w:left="0" w:firstLine="709"/>
        <w:jc w:val="center"/>
        <w:spacing w:before="0" w:after="0"/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</w:rPr>
      </w:pPr>
      <w:r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</w:rPr>
      </w:r>
      <w:r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</w:rPr>
      </w:r>
      <w:r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</w:rPr>
      </w:r>
    </w:p>
    <w:p>
      <w:pPr>
        <w:pStyle w:val="897"/>
        <w:ind w:left="0" w:firstLine="709"/>
        <w:jc w:val="center"/>
        <w:pageBreakBefore/>
        <w:spacing w:before="0" w:after="0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b/>
          <w:color w:val="5f497a" w:themeColor="accent4" w:themeShade="BF"/>
          <w:sz w:val="28"/>
          <w:szCs w:val="28"/>
          <w:highlight w:val="white"/>
        </w:rPr>
        <w:t xml:space="preserve">ОР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  <w:t xml:space="preserve">ГАНИЗАЦИЯ РАБОТ ПО ВОСПРОИЗВОДСТВУ МИНЕРАЛЬНО-СЫРЬЕВОЙ БАЗЫ РОССИИ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</w:p>
    <w:p>
      <w:pPr>
        <w:pStyle w:val="897"/>
        <w:ind w:left="0" w:firstLine="709"/>
        <w:jc w:val="center"/>
        <w:spacing w:before="0" w:after="0"/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Цель 1. Воспроизводство минерально-сырьевой базы углеводородного сырья (УВС) и подземных вод (ПВ)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Задачи, решаемые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 для достижения цели в 2025 году</w:t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В части воспроизводства минерально-сырьевой базы углеводородного сырья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В 2025 году за счет средств федерального бюджета планируется проведение региональных геологоразведочных работ на углеводородное сырье в пределах наиболее перспе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ктивных зон нефтегазоносных провинций России: в отдаленных районах Восточной Сибири и Дальнего Востока; в краевых частях и на глубинных участках Западно-Сибирской нефтегазоносной провинции; слабоизученных районах, участках и комплексах старых нефтегазодобы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вающих провинций Европейской части России: Волго-Уральской, Прикаспийской, Тимано-Печорской; шельфе Российской Федерации.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eastAsia="Calibri" w:cs="PT Astra Serif"/>
          <w:sz w:val="28"/>
          <w:szCs w:val="28"/>
          <w:highlight w:val="white"/>
        </w:rPr>
      </w:pPr>
      <w:r>
        <w:rPr>
          <w:rFonts w:ascii="PT Astra Serif" w:hAnsi="PT Astra Serif" w:eastAsia="Calibri" w:cs="PT Astra Serif"/>
          <w:sz w:val="28"/>
          <w:szCs w:val="28"/>
          <w:highlight w:val="white"/>
        </w:rPr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В рамках комплекса процессных мероприятий государственной программы «В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оспроизводство и использование природных ресурсов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»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 рег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иональные геологоразведочные работы на УВС планируются на 23 объектах. По результатам 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региональных сейсморазведочных работ прирост ресурсов 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Дл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 планируется в объеме не менее 2,7 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млрд.тут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Кроме того 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бу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дут начаты работы по 10 объектам, выполняемым в рамках второго этапа Федерального проекта «Геология: возрождение легенды», 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основной целью которых являются получение надежной геологической информации для привлечения интереса компаний к новым потенциально нефтегазоносным районам, снятие повышенны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х рисков поисковых работ.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В части воспроизводства минерально-сырьевой базы подземных вод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  <w:t xml:space="preserve">в рамках КПМ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планируется проведение работ на 13 переходящих объектах, из которых 6 завершаются в 2025 году. Ожидаемый прирост запасов по завершающимся в 2025 году объектам составит 9,3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тыс.м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/сутки.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Индикаторы достижения цели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Прирост прогнозных ресурсов углеводородного сырья по результатам проведения ГРР за счет средств федерального бюджета после выполнения всех запланированных работ составит не менее 2,7 млрд. 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т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.у.т</w:t>
      </w: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Calibri" w:cs="PT Astra Serif"/>
          <w:sz w:val="28"/>
          <w:szCs w:val="28"/>
          <w:highlight w:val="white"/>
        </w:rPr>
        <w:t xml:space="preserve">Прирост запасов углеводородного сырья по результатам проведения ГРР за счет средств недропользователей ожидается в объеме, компенсирующем их добычу.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</w:rPr>
      </w:pPr>
      <w:r>
        <w:rPr>
          <w:rFonts w:ascii="PT Astra Serif" w:hAnsi="PT Astra Serif" w:eastAsia="Calibri" w:cs="PT Astra Serif"/>
          <w:b/>
          <w:bCs/>
          <w:i/>
          <w:i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eastAsia="Calibri" w:cs="PT Astra Serif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Calibri" w:cs="PT Astra Serif"/>
          <w:b/>
          <w:bCs/>
          <w:i/>
          <w:iCs/>
          <w:color w:val="000000" w:themeColor="text1"/>
          <w:sz w:val="28"/>
          <w:szCs w:val="28"/>
          <w:highlight w:val="white"/>
          <w:lang w:eastAsia="ru-RU"/>
        </w:rPr>
        <w:t xml:space="preserve">Цель 2. Воспроизводство минерально-сырьевой базы твердых полезных ископаемых (ТПИ)</w:t>
      </w:r>
      <w:r>
        <w:rPr>
          <w:rFonts w:ascii="PT Astra Serif" w:hAnsi="PT Astra Serif" w:eastAsia="Calibri" w:cs="PT Astra Serif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Calibri" w:cs="PT Astra Serif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Calibri" w:cs="PT Astra Serif"/>
          <w:b/>
          <w:bCs/>
          <w:i/>
          <w:iCs/>
          <w:color w:val="e36c0a"/>
          <w:sz w:val="28"/>
          <w:szCs w:val="28"/>
          <w:highlight w:val="white"/>
          <w:lang w:eastAsia="ru-RU"/>
        </w:rPr>
        <w:t xml:space="preserve"> 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cs="PT Astra Serif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Liberation Sans" w:cs="PT Astra Serif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Задачи, решаемые для достижения цели в 2025 году</w:t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Выявление ресурсов и перспективных площадей и воспроизводство запасов важнейших видов твердых полезных ископаемых на уровне, предусмотренном </w:t>
      </w:r>
      <w:hyperlink r:id="rId12" w:tooltip="consultantplus://offline/ref=7E39109ED72E29210ABD6A22628DE156095E79D1F2698478873C8C9DD8D4B1100C6B8B62E4F20277DC3875A028DF931790CAF8F2048E83D2k6P3J" w:history="1">
        <w:r>
          <w:rPr>
            <w:rFonts w:ascii="PT Astra Serif" w:hAnsi="PT Astra Serif" w:eastAsia="Arial" w:cs="PT Astra Serif"/>
            <w:sz w:val="28"/>
            <w:szCs w:val="28"/>
            <w:highlight w:val="white"/>
            <w:lang w:eastAsia="ru-RU" w:bidi="ru-RU"/>
          </w:rPr>
          <w:t xml:space="preserve">Стратегией</w:t>
        </w:r>
      </w:hyperlink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 развития минерально-сырьевой базы.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Liberation Sans" w:cs="PT Astra Serif"/>
          <w:color w:val="1a1a1a"/>
          <w:sz w:val="28"/>
          <w:szCs w:val="28"/>
        </w:rPr>
        <w:t xml:space="preserve">Основные направления и приоритеты геологоразведочных работ на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ТПИ в 202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5 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году: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- сосредоточение ГРР на стратегические, в том числе дефицитные виды минерального сырья;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cs="PT Astra Seri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- выполнение международных обязательств по геологическому изучению участков российских разведочных районов Мирового океана;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cs="PT Astra Seri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- совершенствование нормативно-правовой основы недропользования, в том числе дальнейшее развитие «заявительного принципа» предоставления права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пользования недрами.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cs="PT Astra Seri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eastAsia="Liberation Sans" w:cs="PT Astra Serif"/>
          <w:b/>
          <w:bCs/>
          <w:i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Liberation Sans" w:cs="PT Astra Serif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Индикаторы достижения цели</w:t>
      </w:r>
      <w:r>
        <w:rPr>
          <w:rFonts w:ascii="PT Astra Serif" w:hAnsi="PT Astra Serif" w:eastAsia="Liberation Sans" w:cs="PT Astra Serif"/>
          <w:b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Liberation Sans" w:cs="PT Astra Serif"/>
          <w:b/>
          <w:bCs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cs="PT Astra Serif"/>
          <w:b/>
          <w:bCs/>
          <w:i/>
          <w:color w:val="1a1a1a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Arial" w:cs="PT Astra Serif"/>
          <w:sz w:val="28"/>
          <w:szCs w:val="28"/>
          <w:highlight w:val="none"/>
          <w:lang w:eastAsia="ru-RU" w:bidi="ru-RU"/>
        </w:rPr>
        <w:t xml:space="preserve">В</w:t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 соответствии с показателями 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государственной программы «Воспроизводство и использование природных ресурсов»</w:t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воспроизводство запасов </w:t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важнейших видов твердых полезных ископаемых</w:t>
      </w:r>
      <w:r>
        <w:rPr>
          <w:rFonts w:ascii="PT Astra Serif" w:hAnsi="PT Astra Serif" w:eastAsia="Liberation Sans" w:cs="PT Astra Serif"/>
          <w:color w:val="1a1a1a"/>
          <w:sz w:val="28"/>
          <w:szCs w:val="28"/>
          <w:highlight w:val="white"/>
        </w:rPr>
        <w:t xml:space="preserve"> по группам планируется на уровне 50% для 1-й группы, 100% - для 2-й группы и 75%  - для 3-й группы .</w:t>
      </w:r>
      <w:r>
        <w:rPr>
          <w:rFonts w:ascii="PT Astra Serif" w:hAnsi="PT Astra Serif" w:cs="PT Astra Serif"/>
          <w:b/>
          <w:bCs/>
          <w:i/>
          <w:color w:val="1a1a1a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i/>
          <w:color w:val="1a1a1a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b/>
          <w:color w:val="000000" w:themeColor="text1"/>
          <w:sz w:val="28"/>
          <w:szCs w:val="28"/>
          <w:highlight w:val="white"/>
        </w:rPr>
        <w:t xml:space="preserve">СБОР, ХРАНЕНИЕ И ПРЕДОСТАВЛЕНИЕ В ПОЛЬЗОВАНИЕ ГЕОЛОГИЧЕСКОЙ ИНФОРМАЦИИ</w:t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  <w:highlight w:val="white"/>
        </w:rPr>
      </w:r>
    </w:p>
    <w:p>
      <w:pPr>
        <w:contextualSpacing/>
        <w:jc w:val="both"/>
        <w:spacing w:before="120" w:after="0" w:line="240" w:lineRule="auto"/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Цель. Повышение качества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, полноты и оперативности сбора и использования геологической информации о недрах Российской Федерации и ее континентального шельфа для осуществления функций государственного управления и предоставления геологической информации широкому кругу потребителей.</w:t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</w:r>
    </w:p>
    <w:p>
      <w:pPr>
        <w:contextualSpacing/>
        <w:jc w:val="both"/>
        <w:spacing w:before="120" w:after="0" w:line="240" w:lineRule="auto"/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i/>
          <w:color w:val="e36c0a" w:themeColor="accent6" w:themeShade="BF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Задачи, решаемые для достижения цели в 2025 году</w:t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Сбор, хранение и предоставление в пользование геологической информации;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Оказание государственной услуги по предоставлению в пользование геологической информации о недрах, полученной в результате государственного геологического изучения недр, в части информации ограниченного распространения;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Развитие ФГИС «ЕФГИ», ФГИС «АСЛН»;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Учёт и ведение геологической и других видов изученности территории Российской Федерации, её континентального шельфа и внутренних морей;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Составление государственного баланса запасов полезных ископаемых;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Ведение государственного кадастра месторождений и проявлений полезных ископаемых.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</w:rPr>
      </w:pPr>
      <w:r>
        <w:rPr>
          <w:rFonts w:ascii="PT Astra Serif" w:hAnsi="PT Astra Serif" w:cs="PT Astra Serif"/>
          <w:b/>
          <w:i/>
          <w:color w:val="000000" w:themeColor="text1"/>
          <w:sz w:val="28"/>
          <w:szCs w:val="28"/>
          <w:highlight w:val="white"/>
        </w:rPr>
        <w:t xml:space="preserve">Индикаторы достижения цели</w:t>
      </w:r>
      <w:r>
        <w:rPr>
          <w:rFonts w:ascii="PT Astra Serif" w:hAnsi="PT Astra Serif" w:cs="PT Astra Serif"/>
          <w:color w:val="000000" w:themeColor="text1"/>
          <w:highlight w:val="white"/>
        </w:rPr>
      </w:r>
      <w:r>
        <w:rPr>
          <w:rFonts w:ascii="PT Astra Serif" w:hAnsi="PT Astra Serif" w:cs="PT Astra Serif"/>
          <w:color w:val="000000" w:themeColor="text1"/>
          <w:highlight w:val="white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По состоянию на 31 декабря 2025 года: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Фонд геологической информации пополнится на 20 тыс. единиц.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</w:r>
    </w:p>
    <w:p>
      <w:pPr>
        <w:pStyle w:val="897"/>
        <w:ind w:left="0" w:right="0" w:firstLine="283"/>
        <w:spacing w:before="0" w:after="0"/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pP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val="en-US" w:eastAsia="ru-RU"/>
        </w:rPr>
        <w:t xml:space="preserve">Через ФГИС «ЕФГИ» будут представлены в пользование более 30 тыс. документов.</w:t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  <w:r>
        <w:rPr>
          <w:rFonts w:hint="default" w:ascii="PT Astra Serif" w:hAnsi="PT Astra Serif" w:eastAsia="Calibri" w:cs="PT Astra Serif"/>
          <w:color w:val="auto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5f497a" w:themeColor="accent4" w:themeShade="BF"/>
          <w:sz w:val="28"/>
          <w:szCs w:val="28"/>
          <w:highlight w:val="white"/>
        </w:rPr>
      </w:r>
    </w:p>
    <w:p>
      <w:pPr>
        <w:jc w:val="center"/>
        <w:pageBreakBefore/>
        <w:spacing w:after="0" w:line="240" w:lineRule="auto"/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Times New Roman" w:cs="PT Astra Serif"/>
          <w:b/>
          <w:color w:val="000000" w:themeColor="text1"/>
          <w:sz w:val="28"/>
          <w:szCs w:val="28"/>
          <w:highlight w:val="white"/>
          <w:lang w:eastAsia="ru-RU"/>
        </w:rPr>
        <w:t xml:space="preserve">ОРГАНИЗАЦИОННОЕ ОБЕСПЕЧЕНИЕ ГОСУДАРСТВЕННОЙ СИСТЕМЫ ЛИЦЕНЗИРОВАНИЯ ПОЛЬЗОВАНИЯ НЕДРАМИ</w:t>
      </w:r>
      <w:r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Times New Roman" w:cs="PT Astra Serif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Calibri" w:cs="PT Astra Serif"/>
          <w:b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Calibri" w:cs="PT Astra Serif"/>
          <w:b/>
          <w:i/>
          <w:color w:val="000000" w:themeColor="text1"/>
          <w:sz w:val="28"/>
          <w:szCs w:val="28"/>
          <w:highlight w:val="white"/>
        </w:rPr>
        <w:t xml:space="preserve">Цель. Обеспечение комплексного рационального использования и охраны недр в целях защиты интересов государства и граждан Российской Федерации, а также прав пользователей</w:t>
      </w:r>
      <w:r>
        <w:rPr>
          <w:rFonts w:ascii="PT Astra Serif" w:hAnsi="PT Astra Serif" w:eastAsia="Calibri" w:cs="PT Astra Serif"/>
          <w:b/>
          <w:i/>
          <w:color w:val="000000" w:themeColor="text1"/>
          <w:sz w:val="28"/>
          <w:szCs w:val="28"/>
          <w:highlight w:val="white"/>
        </w:rPr>
        <w:t xml:space="preserve"> недр.</w:t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PT Astra Serif" w:hAnsi="PT Astra Serif" w:eastAsia="Calibri" w:cs="PT Astra Serif"/>
          <w:b/>
          <w:bCs/>
          <w:i/>
          <w:color w:val="e36c0a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i/>
          <w:color w:val="ff0000"/>
          <w:sz w:val="28"/>
          <w:szCs w:val="28"/>
          <w:highlight w:val="none"/>
        </w:rPr>
      </w:r>
      <w:r>
        <w:rPr>
          <w:rFonts w:ascii="PT Astra Serif" w:hAnsi="PT Astra Serif" w:eastAsia="Calibri" w:cs="PT Astra Serif"/>
          <w:b/>
          <w:bCs/>
          <w:i/>
          <w:color w:val="e36c0a"/>
          <w:sz w:val="28"/>
          <w:szCs w:val="28"/>
          <w:highlight w:val="none"/>
        </w:rPr>
      </w:r>
      <w:r>
        <w:rPr>
          <w:rFonts w:ascii="PT Astra Serif" w:hAnsi="PT Astra Serif" w:eastAsia="Calibri" w:cs="PT Astra Serif"/>
          <w:b/>
          <w:bCs/>
          <w:i/>
          <w:color w:val="e36c0a"/>
          <w:sz w:val="28"/>
          <w:szCs w:val="28"/>
          <w:highlight w:val="non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eastAsia="Liberation Sans" w:cs="PT Astra Serif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Liberation Sans" w:cs="PT Astra Serif"/>
          <w:b/>
          <w:bCs/>
          <w:i/>
          <w:iCs/>
          <w:color w:val="000000" w:themeColor="text1"/>
          <w:sz w:val="28"/>
          <w:szCs w:val="28"/>
          <w:highlight w:val="white"/>
          <w:lang w:eastAsia="ru-RU" w:bidi="ru-RU"/>
        </w:rPr>
        <w:t xml:space="preserve">Задачи, решаемые для достижения цели в 2025 году</w:t>
      </w:r>
      <w:r>
        <w:rPr>
          <w:rFonts w:ascii="PT Astra Serif" w:hAnsi="PT Astra Serif" w:eastAsia="Liberation Sans" w:cs="PT Astra Serif"/>
          <w:b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Liberation Sans" w:cs="PT Astra Serif"/>
          <w:b/>
          <w:bCs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Организация и проведение аукционов на право пользования недрами.</w:t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</w:pP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Принятие решений о предоставлении, продлении, приостановлении, досрочном прекращении права пользования недрами.</w:t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eastAsia="Arial" w:cs="PT Astra Serif"/>
          <w:sz w:val="28"/>
          <w:szCs w:val="28"/>
          <w:highlight w:val="none"/>
          <w:lang w:eastAsia="ru-RU" w:bidi="ru-RU"/>
        </w:rPr>
      </w:pP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Мониторинг лицензионных соглашений.</w:t>
      </w:r>
      <w:r>
        <w:rPr>
          <w:rFonts w:ascii="PT Astra Serif" w:hAnsi="PT Astra Serif" w:eastAsia="Arial" w:cs="PT Astra Serif"/>
          <w:sz w:val="28"/>
          <w:szCs w:val="28"/>
          <w:highlight w:val="none"/>
          <w:lang w:eastAsia="ru-RU" w:bidi="ru-RU"/>
        </w:rPr>
      </w:r>
      <w:r>
        <w:rPr>
          <w:rFonts w:ascii="PT Astra Serif" w:hAnsi="PT Astra Serif" w:eastAsia="Arial" w:cs="PT Astra Serif"/>
          <w:sz w:val="28"/>
          <w:szCs w:val="28"/>
          <w:highlight w:val="none"/>
          <w:lang w:eastAsia="ru-RU" w:bidi="ru-RU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</w:pPr>
      <w:r>
        <w:rPr>
          <w:rFonts w:ascii="PT Astra Serif" w:hAnsi="PT Astra Serif" w:eastAsia="Arial" w:cs="PT Astra Serif"/>
          <w:sz w:val="28"/>
          <w:szCs w:val="28"/>
          <w:highlight w:val="none"/>
          <w:lang w:eastAsia="ru-RU" w:bidi="ru-RU"/>
        </w:rPr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eastAsia="Liberation Sans" w:cs="PT Astra Serif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Liberation Sans" w:cs="PT Astra Serif"/>
          <w:b/>
          <w:bCs/>
          <w:i/>
          <w:iCs/>
          <w:color w:val="000000" w:themeColor="text1"/>
          <w:sz w:val="28"/>
          <w:szCs w:val="28"/>
          <w:highlight w:val="white"/>
          <w:lang w:eastAsia="ru-RU" w:bidi="ru-RU"/>
        </w:rPr>
        <w:t xml:space="preserve">Индикаторы достижения цели</w:t>
      </w:r>
      <w:r>
        <w:rPr>
          <w:rFonts w:ascii="PT Astra Serif" w:hAnsi="PT Astra Serif" w:eastAsia="Liberation Sans" w:cs="PT Astra Serif"/>
          <w:b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Liberation Sans" w:cs="PT Astra Serif"/>
          <w:b/>
          <w:bCs/>
          <w:i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shd w:val="clear" w:color="ffffff" w:fill="ffffff"/>
        <w:rPr>
          <w:rFonts w:ascii="PT Astra Serif" w:hAnsi="PT Astra Serif" w:eastAsia="Arial" w:cs="PT Astra Serif"/>
          <w:color w:val="92d05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Количество проведенных аукционов на получение права пользования недрами составит:</w:t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 на УВС –36</w:t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 ,</w:t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 на ТПИ – 114.</w:t>
      </w:r>
      <w:r>
        <w:rPr>
          <w:rFonts w:ascii="PT Astra Serif" w:hAnsi="PT Astra Serif" w:eastAsia="Arial" w:cs="PT Astra Serif"/>
          <w:color w:val="92d050"/>
          <w:sz w:val="28"/>
          <w:szCs w:val="28"/>
          <w:highlight w:val="white"/>
        </w:rPr>
      </w:r>
      <w:r>
        <w:rPr>
          <w:rFonts w:ascii="PT Astra Serif" w:hAnsi="PT Astra Serif" w:eastAsia="Arial" w:cs="PT Astra Serif"/>
          <w:color w:val="92d050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eastAsia="Arial" w:cs="PT Astra Serif"/>
          <w:sz w:val="28"/>
          <w:szCs w:val="28"/>
          <w:highlight w:val="white"/>
        </w:rPr>
      </w:pP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Количество лицензий</w:t>
      </w: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 по которым право пользования недрами предоставлено, продлено, приостановлено либо досрочно прекращено.</w:t>
      </w:r>
      <w:r>
        <w:rPr>
          <w:rFonts w:ascii="PT Astra Serif" w:hAnsi="PT Astra Serif" w:eastAsia="Arial" w:cs="PT Astra Serif"/>
          <w:sz w:val="28"/>
          <w:szCs w:val="28"/>
          <w:highlight w:val="white"/>
        </w:rPr>
      </w:r>
      <w:r>
        <w:rPr>
          <w:rFonts w:ascii="PT Astra Serif" w:hAnsi="PT Astra Serif" w:eastAsia="Arial" w:cs="PT Astra Serif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PT Astra Serif" w:hAnsi="PT Astra Serif" w:cs="PT Astra Serif"/>
          <w:b/>
          <w:bCs/>
          <w:i/>
          <w:color w:val="1a1a1a"/>
          <w:highlight w:val="yellow"/>
        </w:rPr>
      </w:pPr>
      <w:r>
        <w:rPr>
          <w:rFonts w:ascii="PT Astra Serif" w:hAnsi="PT Astra Serif" w:eastAsia="Arial" w:cs="PT Astra Serif"/>
          <w:sz w:val="28"/>
          <w:szCs w:val="28"/>
          <w:highlight w:val="white"/>
          <w:lang w:eastAsia="ru-RU" w:bidi="ru-RU"/>
        </w:rPr>
        <w:t xml:space="preserve">Доходы федерального бюджета от разовых платежей – не менее 19,412 млрд. руб.</w:t>
      </w:r>
      <w:r>
        <w:rPr>
          <w:highlight w:val="white"/>
        </w:rPr>
        <w:tab/>
      </w:r>
      <w:r>
        <w:rPr>
          <w:rFonts w:ascii="PT Astra Serif" w:hAnsi="PT Astra Serif" w:cs="PT Astra Serif"/>
          <w:b/>
          <w:bCs/>
          <w:i/>
          <w:color w:val="1a1a1a"/>
          <w:highlight w:val="yellow"/>
        </w:rPr>
      </w:r>
      <w:r>
        <w:rPr>
          <w:rFonts w:ascii="PT Astra Serif" w:hAnsi="PT Astra Serif" w:cs="PT Astra Serif"/>
          <w:b/>
          <w:bCs/>
          <w:i/>
          <w:color w:val="1a1a1a"/>
          <w:highlight w:val="yellow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5174291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n"/>
      <w:lvlJc w:val="left"/>
      <w:pPr>
        <w:ind w:left="360" w:hanging="360"/>
      </w:pPr>
      <w:rPr>
        <w:rFonts w:hint="default" w:ascii="Wingdings" w:hAnsi="Wingdings"/>
        <w:color w:val="365f91" w:themeColor="accent1" w:themeShade="BF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57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 w:default="1">
    <w:name w:val="Normal"/>
    <w:qFormat/>
  </w:style>
  <w:style w:type="paragraph" w:styleId="707">
    <w:name w:val="Heading 1"/>
    <w:basedOn w:val="706"/>
    <w:next w:val="706"/>
    <w:link w:val="900"/>
    <w:uiPriority w:val="9"/>
    <w:qFormat/>
    <w:pPr>
      <w:keepLines/>
      <w:keepNext/>
      <w:spacing w:before="240" w:after="0"/>
      <w:outlineLvl w:val="0"/>
    </w:pPr>
    <w:rPr>
      <w:rFonts w:eastAsia="Times New Roman" w:asciiTheme="majorHAnsi" w:hAnsiTheme="majorHAnsi" w:cstheme="majorBidi"/>
      <w:caps/>
      <w:color w:val="365f91" w:themeColor="accent1" w:themeShade="BF"/>
      <w:sz w:val="28"/>
      <w:szCs w:val="28"/>
      <w:lang w:eastAsia="ru-RU"/>
    </w:rPr>
  </w:style>
  <w:style w:type="paragraph" w:styleId="708">
    <w:name w:val="Heading 2"/>
    <w:basedOn w:val="706"/>
    <w:next w:val="706"/>
    <w:link w:val="73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73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3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3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3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3">
    <w:name w:val="Heading 7"/>
    <w:basedOn w:val="706"/>
    <w:next w:val="706"/>
    <w:link w:val="73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4">
    <w:name w:val="Heading 8"/>
    <w:basedOn w:val="706"/>
    <w:next w:val="706"/>
    <w:link w:val="74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5">
    <w:name w:val="Heading 9"/>
    <w:basedOn w:val="706"/>
    <w:next w:val="706"/>
    <w:link w:val="74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Heading 2 Char"/>
    <w:basedOn w:val="716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6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6"/>
    <w:uiPriority w:val="10"/>
    <w:rPr>
      <w:sz w:val="48"/>
      <w:szCs w:val="48"/>
    </w:rPr>
  </w:style>
  <w:style w:type="character" w:styleId="728" w:customStyle="1">
    <w:name w:val="Subtitle Char"/>
    <w:basedOn w:val="716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Heading 1 Char"/>
    <w:basedOn w:val="716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basedOn w:val="716"/>
    <w:link w:val="708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after="0" w:line="240" w:lineRule="auto"/>
    </w:pPr>
  </w:style>
  <w:style w:type="paragraph" w:styleId="743">
    <w:name w:val="Title"/>
    <w:basedOn w:val="706"/>
    <w:next w:val="706"/>
    <w:link w:val="744"/>
    <w:uiPriority w:val="10"/>
    <w:qFormat/>
    <w:pPr>
      <w:contextualSpacing/>
      <w:spacing w:before="300"/>
    </w:pPr>
    <w:rPr>
      <w:sz w:val="48"/>
      <w:szCs w:val="48"/>
    </w:rPr>
  </w:style>
  <w:style w:type="character" w:styleId="744" w:customStyle="1">
    <w:name w:val="Название Знак"/>
    <w:basedOn w:val="716"/>
    <w:link w:val="743"/>
    <w:uiPriority w:val="10"/>
    <w:rPr>
      <w:sz w:val="48"/>
      <w:szCs w:val="48"/>
    </w:rPr>
  </w:style>
  <w:style w:type="paragraph" w:styleId="745">
    <w:name w:val="Subtitle"/>
    <w:basedOn w:val="706"/>
    <w:next w:val="706"/>
    <w:link w:val="746"/>
    <w:uiPriority w:val="11"/>
    <w:qFormat/>
    <w:pPr>
      <w:spacing w:before="200"/>
    </w:pPr>
    <w:rPr>
      <w:sz w:val="24"/>
      <w:szCs w:val="24"/>
    </w:rPr>
  </w:style>
  <w:style w:type="character" w:styleId="746" w:customStyle="1">
    <w:name w:val="Подзаголовок Знак"/>
    <w:basedOn w:val="716"/>
    <w:link w:val="745"/>
    <w:uiPriority w:val="11"/>
    <w:rPr>
      <w:sz w:val="24"/>
      <w:szCs w:val="24"/>
    </w:rPr>
  </w:style>
  <w:style w:type="paragraph" w:styleId="747">
    <w:name w:val="Quote"/>
    <w:basedOn w:val="706"/>
    <w:next w:val="706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6"/>
    <w:next w:val="706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character" w:styleId="751" w:customStyle="1">
    <w:name w:val="Header Char"/>
    <w:basedOn w:val="716"/>
    <w:uiPriority w:val="99"/>
  </w:style>
  <w:style w:type="character" w:styleId="752" w:customStyle="1">
    <w:name w:val="Footer Char"/>
    <w:basedOn w:val="716"/>
    <w:uiPriority w:val="99"/>
  </w:style>
  <w:style w:type="paragraph" w:styleId="753">
    <w:name w:val="Caption"/>
    <w:basedOn w:val="706"/>
    <w:next w:val="706"/>
    <w:link w:val="7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4" w:customStyle="1">
    <w:name w:val="Caption Char"/>
    <w:uiPriority w:val="99"/>
  </w:style>
  <w:style w:type="table" w:styleId="755" w:customStyle="1">
    <w:name w:val="Table Grid Light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06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16"/>
    <w:uiPriority w:val="99"/>
    <w:unhideWhenUsed/>
    <w:rPr>
      <w:vertAlign w:val="superscript"/>
    </w:rPr>
  </w:style>
  <w:style w:type="paragraph" w:styleId="883">
    <w:name w:val="endnote text"/>
    <w:basedOn w:val="706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6"/>
    <w:uiPriority w:val="99"/>
    <w:semiHidden/>
    <w:unhideWhenUsed/>
    <w:rPr>
      <w:vertAlign w:val="superscript"/>
    </w:rPr>
  </w:style>
  <w:style w:type="paragraph" w:styleId="886">
    <w:name w:val="toc 1"/>
    <w:basedOn w:val="706"/>
    <w:next w:val="706"/>
    <w:uiPriority w:val="39"/>
    <w:unhideWhenUsed/>
    <w:pPr>
      <w:spacing w:after="57"/>
    </w:pPr>
  </w:style>
  <w:style w:type="paragraph" w:styleId="887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88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89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90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91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92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93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94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6"/>
    <w:next w:val="706"/>
    <w:uiPriority w:val="99"/>
    <w:unhideWhenUsed/>
    <w:pPr>
      <w:spacing w:after="0"/>
    </w:pPr>
  </w:style>
  <w:style w:type="paragraph" w:styleId="897">
    <w:name w:val="List Paragraph"/>
    <w:basedOn w:val="706"/>
    <w:uiPriority w:val="99"/>
    <w:qFormat/>
    <w:pPr>
      <w:contextualSpacing/>
      <w:ind w:left="720"/>
      <w:jc w:val="both"/>
      <w:spacing w:before="120" w:after="160" w:line="240" w:lineRule="auto"/>
    </w:pPr>
    <w:rPr>
      <w:rFonts w:ascii="Times New Roman" w:hAnsi="Times New Roman"/>
      <w:sz w:val="24"/>
    </w:rPr>
  </w:style>
  <w:style w:type="paragraph" w:styleId="898">
    <w:name w:val="Balloon Text"/>
    <w:basedOn w:val="706"/>
    <w:link w:val="8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716"/>
    <w:link w:val="898"/>
    <w:uiPriority w:val="99"/>
    <w:semiHidden/>
    <w:rPr>
      <w:rFonts w:ascii="Tahoma" w:hAnsi="Tahoma" w:cs="Tahoma"/>
      <w:sz w:val="16"/>
      <w:szCs w:val="16"/>
    </w:rPr>
  </w:style>
  <w:style w:type="character" w:styleId="900" w:customStyle="1">
    <w:name w:val="Заголовок 1 Знак"/>
    <w:basedOn w:val="716"/>
    <w:link w:val="707"/>
    <w:uiPriority w:val="9"/>
    <w:rPr>
      <w:rFonts w:eastAsia="Times New Roman" w:asciiTheme="majorHAnsi" w:hAnsiTheme="majorHAnsi" w:cstheme="majorBidi"/>
      <w:caps/>
      <w:color w:val="365f91" w:themeColor="accent1" w:themeShade="BF"/>
      <w:sz w:val="28"/>
      <w:szCs w:val="28"/>
      <w:lang w:eastAsia="ru-RU"/>
    </w:rPr>
  </w:style>
  <w:style w:type="character" w:styleId="901">
    <w:name w:val="Hyperlink"/>
    <w:basedOn w:val="716"/>
    <w:uiPriority w:val="99"/>
    <w:semiHidden/>
    <w:unhideWhenUsed/>
    <w:rPr>
      <w:strike w:val="0"/>
      <w:color w:val="666699"/>
      <w:u w:val="none"/>
    </w:rPr>
  </w:style>
  <w:style w:type="paragraph" w:styleId="902">
    <w:name w:val="Body Text Indent"/>
    <w:basedOn w:val="706"/>
    <w:link w:val="903"/>
    <w:uiPriority w:val="99"/>
    <w:unhideWhenUsed/>
    <w:pPr>
      <w:ind w:left="283"/>
      <w:spacing w:after="120"/>
    </w:pPr>
  </w:style>
  <w:style w:type="character" w:styleId="903" w:customStyle="1">
    <w:name w:val="Основной текст с отступом Знак"/>
    <w:basedOn w:val="716"/>
    <w:link w:val="902"/>
    <w:uiPriority w:val="99"/>
  </w:style>
  <w:style w:type="paragraph" w:styleId="904">
    <w:name w:val="Header"/>
    <w:basedOn w:val="706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716"/>
    <w:link w:val="904"/>
    <w:uiPriority w:val="99"/>
  </w:style>
  <w:style w:type="paragraph" w:styleId="906">
    <w:name w:val="Footer"/>
    <w:basedOn w:val="706"/>
    <w:link w:val="9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716"/>
    <w:link w:val="906"/>
    <w:uiPriority w:val="99"/>
  </w:style>
  <w:style w:type="table" w:styleId="908">
    <w:name w:val="Table Grid"/>
    <w:basedOn w:val="7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910" w:customStyle="1">
    <w:name w:val="Обычный (веб)1"/>
    <w:uiPriority w:val="99"/>
    <w:semiHidden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7E39109ED72E29210ABD6A22628DE156095E79D1F2698478873C8C9DD8D4B1100C6B8B62E4F20277DC3875A028DF931790CAF8F2048E83D2k6P3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F3C4-CF15-4337-B9CB-DB58981F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Валуйскова Елена Васильевна</dc:creator>
  <cp:lastModifiedBy>evaluiskova</cp:lastModifiedBy>
  <cp:revision>27</cp:revision>
  <dcterms:created xsi:type="dcterms:W3CDTF">2023-03-27T15:48:00Z</dcterms:created>
  <dcterms:modified xsi:type="dcterms:W3CDTF">2026-03-19T12:17:13Z</dcterms:modified>
</cp:coreProperties>
</file>