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Отчет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об исполнении Ведомственного плана Федерального агентства по недропользованию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по реализации Концепции открытости федеральных органов исполнительной власти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за 2024 год</w:t>
      </w:r>
      <w:r>
        <w:rPr>
          <w:rFonts w:ascii="PT Astra Serif" w:hAnsi="PT Astra Serif" w:cs="PT Astra Serif"/>
          <w:b/>
          <w:bCs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bidi="ru-RU"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tbl>
      <w:tblPr>
        <w:tblStyle w:val="962"/>
        <w:tblW w:w="15590" w:type="dxa"/>
        <w:tblLayout w:type="fixed"/>
        <w:tblLook w:val="04A0" w:firstRow="1" w:lastRow="0" w:firstColumn="1" w:lastColumn="0" w:noHBand="0" w:noVBand="1"/>
      </w:tblPr>
      <w:tblGrid>
        <w:gridCol w:w="644"/>
        <w:gridCol w:w="4883"/>
        <w:gridCol w:w="2551"/>
        <w:gridCol w:w="7512"/>
      </w:tblGrid>
      <w:tr>
        <w:tblPrEx/>
        <w:trPr/>
        <w:tc>
          <w:tcPr>
            <w:tcW w:w="644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 xml:space="preserve">№ п/п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Наименование мероприятия 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Информация об исполнении 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Примечание 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</w:tc>
      </w:tr>
      <w:tr>
        <w:tblPrEx/>
        <w:trPr/>
        <w:tc>
          <w:tcPr>
            <w:gridSpan w:val="4"/>
            <w:tcW w:w="15590" w:type="dxa"/>
            <w:vMerge w:val="restart"/>
            <w:textDirection w:val="lrTb"/>
            <w:noWrap w:val="false"/>
          </w:tcPr>
          <w:p>
            <w:pPr>
              <w:jc w:val="center"/>
              <w:spacing w:line="298" w:lineRule="exact"/>
              <w:widowControl w:val="off"/>
              <w:rPr>
                <w:rFonts w:ascii="PT Astra Serif" w:hAnsi="PT Astra Serif" w:eastAsia="PT Astra Serif" w:cs="PT Astra Serif"/>
                <w:b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Раздел I. Внутриведомственные организационные мероприятия </w:t>
            </w: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</w:r>
          </w:p>
        </w:tc>
      </w:tr>
      <w:tr>
        <w:tblPrEx/>
        <w:trPr>
          <w:trHeight w:val="137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1.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Поддержание в актуальном состоянии общедоступной информации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деятельности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подлежащей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размещению в информационно-телекоммуникационной сети «Интернет»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соответствии с постановлением Правительства Российской Федерации от 24.11.2009 № 953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обеспечении доступа к информации о деятельности Правительства Российской Федерации и федеральных органов исполнительной власти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06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2.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spacing w:after="0" w:afterAutospacing="0"/>
              <w:widowControl w:val="off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Поддержание в актуальном состоянии общедоступной информации о деятельности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подлежащей размещению в информационно-телекоммуникацион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ной сети «Интернет» в форме открытых данных в соответствии с федеральным законодательством,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lang w:bidi="ru-RU"/>
              </w:rPr>
              <w:t xml:space="preserve">данными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92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3.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spacing w:after="0" w:afterAutospacing="0"/>
              <w:widowControl w:val="off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lang w:bidi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Анализ наполняемости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официально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сайт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Протоколы заседаний Об</w:t>
            </w:r>
            <w:r>
              <w:rPr>
                <w:rFonts w:ascii="PT Astra Serif" w:hAnsi="PT Astra Serif" w:eastAsia="PT Astra Serif" w:cs="PT Astra Serif"/>
              </w:rPr>
              <w:t xml:space="preserve">щественного совета при Роснедрах от 29.08.2024 № 5/2024 (в рамках рассмотрения вопроса № 2 повестки дня «О ходе реализации Роснедрами мероприятий в рамках работы с общественностью») и от 20.12.2024 № 9/2024 (в рамках рассмотрения вопроса № 4 повестки дня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Задачи популяризации геологии 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довузовского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профессионального образования и взаимодействия с общественными организациями»).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943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4.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spacing w:after="0" w:afterAutospacing="0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Подготовка и размещение 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официальном сайте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годового отчета о реализации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едомственн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план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 реализации Концепции открытости федеральных органов исполнительной власти на 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Отчет размещен на официальном сайте Роснедр в сети «Интернет» по ссылке 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hyperlink r:id="rId11" w:tooltip="https://rosnedra.gov.ru/about/open-agency/vedomstvennyy-plan/informatsiya-za-2023-god-o-khode-realizatsii-v-federalnom-agentstve-po-nedropolzovaniyu-printsipov-i/" w:history="1">
              <w:r>
                <w:rPr>
                  <w:rStyle w:val="953"/>
                  <w:rFonts w:ascii="PT Astra Serif" w:hAnsi="PT Astra Serif" w:eastAsia="PT Astra Serif" w:cs="PT Astra Serif"/>
                  <w:bCs/>
                  <w:lang w:bidi="ru-RU"/>
                </w:rPr>
                <w:t xml:space="preserve">https://rosnedra.gov.ru/about/open-agency/vedomstvennyy-plan/informatsiya-za-2023-god</w:t>
              </w:r>
            </w:hyperlink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W w:w="1559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widowControl w:val="off"/>
              <w:rPr>
                <w:rFonts w:ascii="PT Astra Serif" w:hAnsi="PT Astra Serif" w:eastAsia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bidi="ru-RU"/>
              </w:rPr>
              <w:t xml:space="preserve">II. Развитие ключевых механизмов открытости </w:t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</w:p>
        </w:tc>
      </w:tr>
      <w:tr>
        <w:tblPrEx/>
        <w:trPr>
          <w:trHeight w:val="1120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1.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Общественного совета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Роснедрах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lang w:bidi="ru-RU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Обеспечено проведение 9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-ти заседани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й Общественного совета при Роснедрах (3 в форме заочного голосования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6 очных), на которых рассматривались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проект Доклада об антимонопольном комплаенсе 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за 2023 год и проект плана мероприятий («дорожной карты») по снижению комплаенс-рисков Федерального агентства по недропользованию на 2024 год; проект доклада об итогах работы Роснедр в 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23 году; проект ведомственного плана Роснедр по реализации Концепции открытости федеральных органов исполнительной власти на 2024 год; итоги работы ООС при Роснедрах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за 2023 год; задачи Роснедр и основные направления деятельности ОС при Роснедрах на текущий год, отчет о ре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ализации Публичной декларации целей и задач Роснедр на 2024 год за 6 месяцев; о ходе реализации Роснедрами мероприятий в рамках работы с общественностью; информационная открытость Роснедр и взаимодействие с общественными и профессиональными объединениями; </w:t>
            </w:r>
            <w:r>
              <w:rPr>
                <w:rStyle w:val="968"/>
                <w:rFonts w:ascii="PT Astra Serif" w:hAnsi="PT Astra Serif" w:eastAsia="PT Astra Serif" w:cs="PT Astra Serif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цифровая трансформация деятельности Роснедр; п</w:t>
            </w:r>
            <w:r>
              <w:rPr>
                <w:rStyle w:val="968"/>
                <w:rFonts w:ascii="PT Astra Serif" w:hAnsi="PT Astra Serif" w:eastAsia="PT Astra Serif" w:cs="PT Astra Serif"/>
                <w:b w:val="0"/>
                <w:color w:val="000000"/>
                <w:sz w:val="22"/>
                <w:szCs w:val="22"/>
              </w:rPr>
              <w:t xml:space="preserve">ерспективные направления развития технологий искусственного интеллекта в геологоразведке и др.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Документы Общественного совета размещены на официальном сайте Роснедр по ссылке </w:t>
            </w:r>
            <w:r>
              <w:rPr>
                <w:rStyle w:val="953"/>
                <w:rFonts w:ascii="PT Astra Serif" w:hAnsi="PT Astra Serif" w:eastAsia="PT Astra Serif" w:cs="PT Astra Serif"/>
                <w:sz w:val="24"/>
                <w:szCs w:val="24"/>
              </w:rPr>
              <w:t xml:space="preserve">https://www.rosnedra.gov.ru/category/167.html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en-US"/>
              </w:rPr>
            </w:r>
            <w:hyperlink r:id="rId12" w:tooltip="https://www.rosnedra.gov.ru/category/476.html?mm=720&amp;ml=717" w:history="1">
              <w:r>
                <w:rPr>
                  <w:rFonts w:ascii="PT Astra Serif" w:hAnsi="PT Astra Serif" w:eastAsia="PT Astra Serif" w:cs="PT Astra Serif"/>
                  <w:color w:val="0563c1"/>
                  <w:sz w:val="24"/>
                  <w:szCs w:val="24"/>
                  <w:u w:val="single"/>
                  <w:lang w:eastAsia="en-US"/>
                </w:rPr>
                <w:t xml:space="preserve">mm=720&amp;ml=717</w:t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blPrEx/>
        <w:trPr>
          <w:trHeight w:val="1120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  <w:lang w:eastAsia="ru-RU"/>
              </w:rPr>
              <w:t xml:space="preserve">Актуализация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наборов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открытых данных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размещенных на официальном сайте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 учетом результатов оценки востребованности и первоочередности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соответствии с требованиями: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статей 13 и 14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постановления Правительства Российской Федерации от 24.11.2009 № 953 «Об обеспечении доступа к информации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деятельности Правительства Российской Федерации и федеральных органов исполнительной власти»;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распоряжени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Правительства Российской Федерации от 10.07.2013 № 1187-р о Перечнях информации о деятельности государственных органов, органов местного самоуправления, размещаемой в сети «Интернет» в форме открытых данных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Роснедрами на официальном сайте опубликованы наборы открытых данных и внедрен функционал,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позволяющий оценить их востребованность и актуальность. Наборы открытых данных размещены по ссылке </w:t>
            </w:r>
            <w:hyperlink r:id="rId13" w:tooltip="https://www.rosnedra.gov.ru/opendata" w:history="1">
              <w:r>
                <w:rPr>
                  <w:rStyle w:val="953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https://www.rosnedra.gov.ru/opendata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Анализ статистики количества просмотров и скачиваний наборов открытых данных позволил определить, что в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наиболее востребованной информацией Роснедр в формате открытых данных являются: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нформация об обращениях граждан(сведения о тематике и результатах рассмотрения)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(количество загрузок -19276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);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наименование подведомственных организаций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 – (количество загрузок –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18811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р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еестр государственных геологических карт масштабов от 1:5000000 до 1: 200000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(количество загрузок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16515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);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еречень федеральных и государственных программ, выполняемых Роснедрами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количество загрузок - 16063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аименование территориальных органов Федерального агентства по недропользованию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  <w:lang w:eastAsia="ru-RU"/>
              </w:rPr>
              <w:t xml:space="preserve">количество загрузок 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15736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).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>
          <w:trHeight w:val="1120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нформирование о планах, событиях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мероприятиях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 результатах деятельности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посредством размещения информации на официальном сайте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официальных страницах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социальных сетях, публикаций в СМИ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Информация размещалась на официальном сайте Роснедр в сети «Интернет» в разделе «Новости» и на страницах Роснедр в социальных сетях, а также на официальных сайта подведомственных Роснедрам учреждений.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120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овлечение в сотрудничество представителей референтных групп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обсуждение проектов нормативных правовых актов;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оценка качества предоставления государственных услуг, в том числе в электронном виде;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 уча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стие в мероприятиях, организуемых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Роснедрами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в том числе совещаниях-семинарах по 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правлениям деятельности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Общественным советом при Роснедрах на полугодовой основе в рамках анализа ответов Роснедр с обращениями граждан и организаций проводилась в том числе оценка качества предоставления государственных услуг.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Проведен онлайн опрос о деятельности Роснедр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hyperlink r:id="rId14" w:tooltip="https://rosnedra.gov.ru/press/news/priglashaem-prinyat-uchastie-v-oprose-o-deyatelnosti-federalnogo-agentstva-po-nedropolzovaniyu-/" w:history="1">
              <w:r>
                <w:rPr>
                  <w:rStyle w:val="953"/>
                  <w:rFonts w:ascii="PT Astra Serif" w:hAnsi="PT Astra Serif" w:eastAsia="PT Astra Serif" w:cs="PT Astra Serif"/>
                  <w:sz w:val="24"/>
                  <w:szCs w:val="24"/>
                  <w:highlight w:val="none"/>
                </w:rPr>
                <w:t xml:space="preserve">https://rosnedra.gov.ru/opros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Проведены следующие мероприятия: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рамках проведения отраслевого дня «Экология» на Международной выставке-форуме «Россия» Роснедрами проведена геологическая питч-сессия «Проекты в области недропользования»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 Д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ень Российского недропользования, приуроченный к празднованию профессионального праздника работников геологической отрасли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заседание межотраслевого Координационного научно-технического совета по геологии, поискам и разведке месторождений урана (КНТС)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научно-практическая конференция «Актуальные вопросы недропользования угольных месторождений»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ебинар «Анализ опыта работы ЦКР-ТПИ Роснедр в новом режиме»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20-й юбилейный Горный форум и выставка МАЙНЕКС Россия 2024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III Форум недропользователей Центрального федерального округа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научно-практическая конференция «Актуальные вопросы недропользования твердых полезных ископаемых»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Всероссийское совещание под общим названием «Актуальные проблемы нефтегазовой геологии»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тематические треки в «Плавучем университете»;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Всероссийская научно-практическая конференция «Актуальные проблемы экологической геохимии»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0-й Всероссийский форум недропользователей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</w:rPr>
              <w:t xml:space="preserve">совещание «Стратегия развития региональных геологоразведочных работ на территории Западно-Сибирской нефтегазоносной провинции»;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XXVIII научно-практическая конференция «Пути реализации нефтегазового потенциала Западной Сибири»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II Научно-практическая конференция «Актуальные проблемы поисковой геологии».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46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5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обзоров тематики обращений граждан и юридических лиц, а также обобщенной информации о результатах рассмотрения обращений и принятых мерах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03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6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Обеспечение рассмотрения на заседаниях Общественного совета при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Роснедрах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письменных ответов на обращения граждан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 юридических лиц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</w:pPr>
            <w:r>
              <w:t xml:space="preserve">Протокол заочного голосования Общественного совета при Роснедрах от 01.11.2024 №6/2024</w:t>
            </w:r>
            <w:r/>
          </w:p>
        </w:tc>
      </w:tr>
      <w:tr>
        <w:tblPrEx/>
        <w:trPr>
          <w:trHeight w:val="342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cs="PT Astra Serif"/>
                <w:bCs/>
              </w:rPr>
              <w:t xml:space="preserve">7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Обеспечение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информирования общественности 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событиях и мероприятия (пресс-релиз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и пресс-анонс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исполнено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2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keepNext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Размещение проектов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нормативных правовых актов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на Федеральном портале проектов нормативных правовых актов 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regulation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gov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</w:rPr>
              <w:t xml:space="preserve">исполнено </w:t>
            </w:r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2"/>
        </w:trPr>
        <w:tc>
          <w:tcPr>
            <w:tcW w:w="644" w:type="dxa"/>
            <w:vMerge w:val="restart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eastAsia="PT Astra Serif" w:cs="PT Astra Serif"/>
                <w:bCs/>
                <w:lang w:bidi="ru-RU"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Подготовка и размещение на официальном сайте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обзоров правоприменительной практики по результатам вступивших в законную силу решений судов о признании недействительными нормативных правовых актов,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ненормативных правовых актов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незаконными решений и действий 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бездействия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Роснедр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51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lang w:eastAsia="en-US"/>
              </w:rPr>
              <w:t xml:space="preserve">Решения судов отсутствовали </w:t>
            </w:r>
            <w:r>
              <w:rPr>
                <w:rFonts w:ascii="PT Astra Serif" w:hAnsi="PT Astra Serif" w:eastAsia="PT Astra Serif" w:cs="PT Astra Serif"/>
                <w:lang w:eastAsia="en-US"/>
              </w:rPr>
            </w:r>
            <w:r>
              <w:rPr>
                <w:rFonts w:ascii="PT Astra Serif" w:hAnsi="PT Astra Serif" w:eastAsia="PT Astra Serif" w:cs="PT Astra Serif"/>
                <w:lang w:eastAsia="en-US"/>
              </w:rPr>
            </w:r>
          </w:p>
        </w:tc>
      </w:tr>
      <w:tr>
        <w:tblPrEx/>
        <w:trPr>
          <w:trHeight w:val="342"/>
        </w:trPr>
        <w:tc>
          <w:tcPr>
            <w:gridSpan w:val="4"/>
            <w:tcW w:w="1559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eastAsia="en-US"/>
              </w:rPr>
              <w:t xml:space="preserve">III. Инициативные проекты</w:t>
            </w:r>
            <w:r>
              <w:rPr>
                <w:rFonts w:ascii="PT Astra Serif" w:hAnsi="PT Astra Serif" w:eastAsia="PT Astra Serif" w:cs="PT Astra Serif"/>
                <w:b/>
                <w:bCs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highlight w:val="none"/>
                <w:lang w:eastAsia="en-US"/>
              </w:rPr>
            </w:r>
          </w:p>
        </w:tc>
      </w:tr>
      <w:tr>
        <w:tblPrEx/>
        <w:trPr>
          <w:trHeight w:val="2472"/>
        </w:trPr>
        <w:tc>
          <w:tcPr>
            <w:tcW w:w="644" w:type="dxa"/>
            <w:textDirection w:val="lrTb"/>
            <w:noWrap w:val="false"/>
          </w:tcPr>
          <w:p>
            <w:pPr>
              <w:spacing w:after="241" w:line="298" w:lineRule="exact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1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популяризацию отрасли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  <w:t xml:space="preserve"> и профессии «Геолог»</w:t>
            </w:r>
            <w:r>
              <w:rPr>
                <w:rFonts w:ascii="PT Astra Serif" w:hAnsi="PT Astra Serif" w:eastAsia="PT Astra Serif" w:cs="PT Astra Serif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241"/>
              <w:widowControl w:val="off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  <w:bCs/>
                <w:lang w:bidi="ru-RU"/>
              </w:rPr>
              <w:t xml:space="preserve">исполнено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751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Роснедрами проведены следующие мероприятия: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  <w:t xml:space="preserve">VI Международная конференция молодых ученых и специалистов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Рудная школа ЦНИГРИ «Минерально-сырьевая база алмазов, благородных и цветных металлов — от прогноза к добыче»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открытие 6-го в мире и 2-го на Кубе геологического класса Карпинского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II Международный геологический чемпионат «ГеоВызов»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Международная "Юная Смена геологов" - "ГеоСмена-2024"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курс юного геолога 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white"/>
              </w:rPr>
              <w:t xml:space="preserve">тюменских школьников;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практику для студентов РГУ нефти и газа (НИУ) им. И.М. Губкина;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color w:val="3c4149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  <w:t xml:space="preserve">- открытый диалог с Руководителем Роснедр в День российского студенчества.</w:t>
            </w:r>
            <w:r>
              <w:rPr>
                <w:rFonts w:ascii="PT Astra Serif" w:hAnsi="PT Astra Serif" w:eastAsia="PT Astra Serif" w:cs="PT Astra Serif"/>
                <w:color w:val="3c4149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567" w:right="992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2133650"/>
      <w:docPartObj>
        <w:docPartGallery w:val="Page Numbers (Top of Page)"/>
        <w:docPartUnique w:val="true"/>
      </w:docPartObj>
      <w:rPr/>
    </w:sdtPr>
    <w:sdtContent>
      <w:p>
        <w:pPr>
          <w:pStyle w:val="94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928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-"/>
      <w:lvlJc w:val="left"/>
      <w:pPr>
        <w:ind w:left="2190" w:hanging="1110"/>
        <w:tabs>
          <w:tab w:val="num" w:pos="219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1"/>
  </w:num>
  <w:num w:numId="2">
    <w:abstractNumId w:val="8"/>
  </w:num>
  <w:num w:numId="3">
    <w:abstractNumId w:val="41"/>
  </w:num>
  <w:num w:numId="4">
    <w:abstractNumId w:val="9"/>
  </w:num>
  <w:num w:numId="5">
    <w:abstractNumId w:val="22"/>
  </w:num>
  <w:num w:numId="6">
    <w:abstractNumId w:val="21"/>
  </w:num>
  <w:num w:numId="7">
    <w:abstractNumId w:val="23"/>
  </w:num>
  <w:num w:numId="8">
    <w:abstractNumId w:val="36"/>
  </w:num>
  <w:num w:numId="9">
    <w:abstractNumId w:val="18"/>
  </w:num>
  <w:num w:numId="10">
    <w:abstractNumId w:val="38"/>
  </w:num>
  <w:num w:numId="11">
    <w:abstractNumId w:val="10"/>
  </w:num>
  <w:num w:numId="12">
    <w:abstractNumId w:val="33"/>
  </w:num>
  <w:num w:numId="13">
    <w:abstractNumId w:val="34"/>
  </w:num>
  <w:num w:numId="14">
    <w:abstractNumId w:val="2"/>
  </w:num>
  <w:num w:numId="15">
    <w:abstractNumId w:val="26"/>
  </w:num>
  <w:num w:numId="16">
    <w:abstractNumId w:val="4"/>
  </w:num>
  <w:num w:numId="17">
    <w:abstractNumId w:val="5"/>
  </w:num>
  <w:num w:numId="18">
    <w:abstractNumId w:val="17"/>
  </w:num>
  <w:num w:numId="19">
    <w:abstractNumId w:val="40"/>
  </w:num>
  <w:num w:numId="20">
    <w:abstractNumId w:val="35"/>
  </w:num>
  <w:num w:numId="21">
    <w:abstractNumId w:val="43"/>
  </w:num>
  <w:num w:numId="22">
    <w:abstractNumId w:val="27"/>
  </w:num>
  <w:num w:numId="23">
    <w:abstractNumId w:val="14"/>
  </w:num>
  <w:num w:numId="24">
    <w:abstractNumId w:val="37"/>
  </w:num>
  <w:num w:numId="25">
    <w:abstractNumId w:val="30"/>
  </w:num>
  <w:num w:numId="26">
    <w:abstractNumId w:val="39"/>
  </w:num>
  <w:num w:numId="27">
    <w:abstractNumId w:val="29"/>
  </w:num>
  <w:num w:numId="28">
    <w:abstractNumId w:val="0"/>
  </w:num>
  <w:num w:numId="29">
    <w:abstractNumId w:val="42"/>
  </w:num>
  <w:num w:numId="30">
    <w:abstractNumId w:val="20"/>
  </w:num>
  <w:num w:numId="31">
    <w:abstractNumId w:val="32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7"/>
  </w:num>
  <w:num w:numId="36">
    <w:abstractNumId w:val="15"/>
  </w:num>
  <w:num w:numId="37">
    <w:abstractNumId w:val="16"/>
  </w:num>
  <w:num w:numId="38">
    <w:abstractNumId w:val="6"/>
  </w:num>
  <w:num w:numId="39">
    <w:abstractNumId w:val="1"/>
  </w:num>
  <w:num w:numId="40">
    <w:abstractNumId w:val="3"/>
  </w:num>
  <w:num w:numId="41">
    <w:abstractNumId w:val="12"/>
  </w:num>
  <w:num w:numId="42">
    <w:abstractNumId w:val="19"/>
  </w:num>
  <w:num w:numId="43">
    <w:abstractNumId w:val="13"/>
  </w:num>
  <w:num w:numId="44">
    <w:abstractNumId w:val="28"/>
  </w:num>
  <w:num w:numId="45">
    <w:abstractNumId w:val="25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>
    <w:name w:val="Heading 1"/>
    <w:basedOn w:val="938"/>
    <w:next w:val="938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0">
    <w:name w:val="Heading 1 Char"/>
    <w:basedOn w:val="939"/>
    <w:link w:val="769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38"/>
    <w:next w:val="938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39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38"/>
    <w:next w:val="938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39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38"/>
    <w:next w:val="938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39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38"/>
    <w:next w:val="938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39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38"/>
    <w:next w:val="938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39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38"/>
    <w:next w:val="938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39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38"/>
    <w:next w:val="938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39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38"/>
    <w:next w:val="938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39"/>
    <w:link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87">
    <w:name w:val="Title Char"/>
    <w:basedOn w:val="939"/>
    <w:link w:val="942"/>
    <w:uiPriority w:val="10"/>
    <w:rPr>
      <w:sz w:val="48"/>
      <w:szCs w:val="48"/>
    </w:rPr>
  </w:style>
  <w:style w:type="paragraph" w:styleId="788">
    <w:name w:val="Subtitle"/>
    <w:basedOn w:val="938"/>
    <w:next w:val="938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basedOn w:val="939"/>
    <w:link w:val="788"/>
    <w:uiPriority w:val="11"/>
    <w:rPr>
      <w:sz w:val="24"/>
      <w:szCs w:val="24"/>
    </w:rPr>
  </w:style>
  <w:style w:type="paragraph" w:styleId="790">
    <w:name w:val="Quote"/>
    <w:basedOn w:val="938"/>
    <w:next w:val="938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38"/>
    <w:next w:val="938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character" w:styleId="794">
    <w:name w:val="Header Char"/>
    <w:basedOn w:val="939"/>
    <w:link w:val="946"/>
    <w:uiPriority w:val="99"/>
  </w:style>
  <w:style w:type="character" w:styleId="795">
    <w:name w:val="Footer Char"/>
    <w:basedOn w:val="939"/>
    <w:link w:val="951"/>
    <w:uiPriority w:val="99"/>
  </w:style>
  <w:style w:type="paragraph" w:styleId="796">
    <w:name w:val="Caption"/>
    <w:basedOn w:val="938"/>
    <w:next w:val="938"/>
    <w:link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951"/>
    <w:uiPriority w:val="99"/>
  </w:style>
  <w:style w:type="table" w:styleId="798">
    <w:name w:val="Table Grid Light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7">
    <w:name w:val="List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8">
    <w:name w:val="List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9">
    <w:name w:val="List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0">
    <w:name w:val="List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1">
    <w:name w:val="List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2">
    <w:name w:val="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Bordered &amp; 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Bordered &amp; 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Bordered &amp; 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Bordered &amp; 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3">
    <w:name w:val="footnote text"/>
    <w:basedOn w:val="938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39"/>
    <w:uiPriority w:val="99"/>
    <w:unhideWhenUsed/>
    <w:rPr>
      <w:vertAlign w:val="superscript"/>
    </w:rPr>
  </w:style>
  <w:style w:type="character" w:styleId="926">
    <w:name w:val="Endnote Text Char"/>
    <w:link w:val="964"/>
    <w:uiPriority w:val="99"/>
    <w:rPr>
      <w:sz w:val="20"/>
    </w:rPr>
  </w:style>
  <w:style w:type="paragraph" w:styleId="927">
    <w:name w:val="toc 1"/>
    <w:basedOn w:val="938"/>
    <w:next w:val="938"/>
    <w:uiPriority w:val="39"/>
    <w:unhideWhenUsed/>
    <w:pPr>
      <w:ind w:left="0" w:right="0" w:firstLine="0"/>
      <w:spacing w:after="57"/>
    </w:pPr>
  </w:style>
  <w:style w:type="paragraph" w:styleId="928">
    <w:name w:val="toc 2"/>
    <w:basedOn w:val="938"/>
    <w:next w:val="938"/>
    <w:uiPriority w:val="39"/>
    <w:unhideWhenUsed/>
    <w:pPr>
      <w:ind w:left="283" w:right="0" w:firstLine="0"/>
      <w:spacing w:after="57"/>
    </w:pPr>
  </w:style>
  <w:style w:type="paragraph" w:styleId="929">
    <w:name w:val="toc 3"/>
    <w:basedOn w:val="938"/>
    <w:next w:val="938"/>
    <w:uiPriority w:val="39"/>
    <w:unhideWhenUsed/>
    <w:pPr>
      <w:ind w:left="567" w:right="0" w:firstLine="0"/>
      <w:spacing w:after="57"/>
    </w:pPr>
  </w:style>
  <w:style w:type="paragraph" w:styleId="930">
    <w:name w:val="toc 4"/>
    <w:basedOn w:val="938"/>
    <w:next w:val="938"/>
    <w:uiPriority w:val="39"/>
    <w:unhideWhenUsed/>
    <w:pPr>
      <w:ind w:left="850" w:right="0" w:firstLine="0"/>
      <w:spacing w:after="57"/>
    </w:pPr>
  </w:style>
  <w:style w:type="paragraph" w:styleId="931">
    <w:name w:val="toc 5"/>
    <w:basedOn w:val="938"/>
    <w:next w:val="938"/>
    <w:uiPriority w:val="39"/>
    <w:unhideWhenUsed/>
    <w:pPr>
      <w:ind w:left="1134" w:right="0" w:firstLine="0"/>
      <w:spacing w:after="57"/>
    </w:pPr>
  </w:style>
  <w:style w:type="paragraph" w:styleId="932">
    <w:name w:val="toc 6"/>
    <w:basedOn w:val="938"/>
    <w:next w:val="938"/>
    <w:uiPriority w:val="39"/>
    <w:unhideWhenUsed/>
    <w:pPr>
      <w:ind w:left="1417" w:right="0" w:firstLine="0"/>
      <w:spacing w:after="57"/>
    </w:pPr>
  </w:style>
  <w:style w:type="paragraph" w:styleId="933">
    <w:name w:val="toc 7"/>
    <w:basedOn w:val="938"/>
    <w:next w:val="938"/>
    <w:uiPriority w:val="39"/>
    <w:unhideWhenUsed/>
    <w:pPr>
      <w:ind w:left="1701" w:right="0" w:firstLine="0"/>
      <w:spacing w:after="57"/>
    </w:pPr>
  </w:style>
  <w:style w:type="paragraph" w:styleId="934">
    <w:name w:val="toc 8"/>
    <w:basedOn w:val="938"/>
    <w:next w:val="938"/>
    <w:uiPriority w:val="39"/>
    <w:unhideWhenUsed/>
    <w:pPr>
      <w:ind w:left="1984" w:right="0" w:firstLine="0"/>
      <w:spacing w:after="57"/>
    </w:pPr>
  </w:style>
  <w:style w:type="paragraph" w:styleId="935">
    <w:name w:val="toc 9"/>
    <w:basedOn w:val="938"/>
    <w:next w:val="938"/>
    <w:uiPriority w:val="39"/>
    <w:unhideWhenUsed/>
    <w:pPr>
      <w:ind w:left="2268" w:right="0" w:firstLine="0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938"/>
    <w:next w:val="938"/>
    <w:uiPriority w:val="99"/>
    <w:unhideWhenUsed/>
    <w:pPr>
      <w:spacing w:after="0" w:afterAutospacing="0"/>
    </w:pPr>
  </w:style>
  <w:style w:type="paragraph" w:styleId="9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paragraph" w:styleId="942">
    <w:name w:val="Title"/>
    <w:basedOn w:val="938"/>
    <w:link w:val="943"/>
    <w:qFormat/>
    <w:pPr>
      <w:jc w:val="center"/>
    </w:pPr>
    <w:rPr>
      <w:sz w:val="28"/>
    </w:rPr>
  </w:style>
  <w:style w:type="character" w:styleId="943" w:customStyle="1">
    <w:name w:val="Название Знак"/>
    <w:basedOn w:val="939"/>
    <w:link w:val="94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44">
    <w:name w:val="Body Text Indent"/>
    <w:basedOn w:val="938"/>
    <w:link w:val="945"/>
    <w:unhideWhenUsed/>
    <w:pPr>
      <w:ind w:left="900" w:hanging="900"/>
      <w:jc w:val="both"/>
      <w:spacing w:line="312" w:lineRule="auto"/>
    </w:pPr>
    <w:rPr>
      <w:b/>
      <w:sz w:val="28"/>
    </w:rPr>
  </w:style>
  <w:style w:type="character" w:styleId="945" w:customStyle="1">
    <w:name w:val="Основной текст с отступом Знак"/>
    <w:basedOn w:val="939"/>
    <w:link w:val="944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946">
    <w:name w:val="Header"/>
    <w:basedOn w:val="938"/>
    <w:link w:val="9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basedOn w:val="939"/>
    <w:link w:val="9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>
    <w:name w:val="Body Text"/>
    <w:basedOn w:val="938"/>
    <w:link w:val="949"/>
    <w:uiPriority w:val="99"/>
    <w:unhideWhenUsed/>
    <w:pPr>
      <w:spacing w:after="120"/>
    </w:pPr>
  </w:style>
  <w:style w:type="character" w:styleId="949" w:customStyle="1">
    <w:name w:val="Основной текст Знак"/>
    <w:basedOn w:val="939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>
    <w:name w:val="List Paragraph"/>
    <w:basedOn w:val="938"/>
    <w:uiPriority w:val="34"/>
    <w:qFormat/>
    <w:pPr>
      <w:contextualSpacing/>
      <w:ind w:left="720"/>
    </w:pPr>
  </w:style>
  <w:style w:type="paragraph" w:styleId="951">
    <w:name w:val="Footer"/>
    <w:basedOn w:val="938"/>
    <w:link w:val="9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"/>
    <w:basedOn w:val="939"/>
    <w:link w:val="95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>
    <w:name w:val="Hyperlink"/>
    <w:basedOn w:val="939"/>
    <w:uiPriority w:val="99"/>
    <w:unhideWhenUsed/>
    <w:rPr>
      <w:color w:val="0000ff"/>
      <w:u w:val="single"/>
    </w:rPr>
  </w:style>
  <w:style w:type="character" w:styleId="954" w:customStyle="1">
    <w:name w:val="blk"/>
    <w:basedOn w:val="939"/>
  </w:style>
  <w:style w:type="paragraph" w:styleId="955">
    <w:name w:val="Balloon Text"/>
    <w:basedOn w:val="938"/>
    <w:link w:val="956"/>
    <w:uiPriority w:val="99"/>
    <w:semiHidden/>
    <w:unhideWhenUsed/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basedOn w:val="939"/>
    <w:link w:val="95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57" w:customStyle="1">
    <w:name w:val="oz_naimen"/>
    <w:basedOn w:val="939"/>
  </w:style>
  <w:style w:type="paragraph" w:styleId="958" w:customStyle="1">
    <w:name w:val="Default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959">
    <w:name w:val="No Spacing"/>
    <w:uiPriority w:val="1"/>
    <w:qFormat/>
    <w:pPr>
      <w:spacing w:after="0" w:line="240" w:lineRule="auto"/>
    </w:pPr>
  </w:style>
  <w:style w:type="character" w:styleId="960" w:customStyle="1">
    <w:name w:val="Колонтитул + 13 pt"/>
    <w:basedOn w:val="9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61" w:customStyle="1">
    <w:name w:val="Колонтитул"/>
    <w:basedOn w:val="93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en-US" w:eastAsia="en-US" w:bidi="en-US"/>
    </w:rPr>
  </w:style>
  <w:style w:type="table" w:styleId="962">
    <w:name w:val="Table Grid"/>
    <w:basedOn w:val="9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3">
    <w:name w:val="FollowedHyperlink"/>
    <w:basedOn w:val="939"/>
    <w:uiPriority w:val="99"/>
    <w:semiHidden/>
    <w:unhideWhenUsed/>
    <w:rPr>
      <w:color w:val="800080" w:themeColor="followedHyperlink"/>
      <w:u w:val="single"/>
    </w:rPr>
  </w:style>
  <w:style w:type="paragraph" w:styleId="964">
    <w:name w:val="endnote text"/>
    <w:basedOn w:val="938"/>
    <w:link w:val="965"/>
    <w:uiPriority w:val="99"/>
    <w:semiHidden/>
    <w:unhideWhenUsed/>
    <w:rPr>
      <w:sz w:val="20"/>
      <w:szCs w:val="20"/>
    </w:rPr>
  </w:style>
  <w:style w:type="character" w:styleId="965" w:customStyle="1">
    <w:name w:val="Текст концевой сноски Знак"/>
    <w:basedOn w:val="939"/>
    <w:link w:val="96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6">
    <w:name w:val="endnote reference"/>
    <w:basedOn w:val="939"/>
    <w:uiPriority w:val="99"/>
    <w:semiHidden/>
    <w:unhideWhenUsed/>
    <w:rPr>
      <w:vertAlign w:val="superscript"/>
    </w:rPr>
  </w:style>
  <w:style w:type="paragraph" w:styleId="967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40" w:beforeAutospacing="0" w:after="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332e2d"/>
      <w:spacing w:val="2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68" w:customStyle="1">
    <w:name w:val="Strong"/>
    <w:qFormat/>
    <w:rPr>
      <w:rFonts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osnedra.gov.ru/about/open-agency/vedomstvennyy-plan/informatsiya-za-2023-god-o-khode-realizatsii-v-federalnom-agentstve-po-nedropolzovaniyu-printsipov-i/" TargetMode="External"/><Relationship Id="rId12" Type="http://schemas.openxmlformats.org/officeDocument/2006/relationships/hyperlink" Target="https://www.rosnedra.gov.ru/category/476.html?mm=720&amp;ml=717" TargetMode="External"/><Relationship Id="rId13" Type="http://schemas.openxmlformats.org/officeDocument/2006/relationships/hyperlink" Target="https://www.rosnedra.gov.ru/opendata" TargetMode="External"/><Relationship Id="rId14" Type="http://schemas.openxmlformats.org/officeDocument/2006/relationships/hyperlink" Target="https://rosnedra.gov.ru/press/news/priglashaem-prinyat-uchastie-v-oprose-o-deyatelnosti-federalnogo-agentstva-po-nedropolzovaniyu-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BE03B-C90F-4BAE-8D9E-1626E94B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evaluiskova</cp:lastModifiedBy>
  <cp:revision>10</cp:revision>
  <dcterms:created xsi:type="dcterms:W3CDTF">2022-11-22T11:46:00Z</dcterms:created>
  <dcterms:modified xsi:type="dcterms:W3CDTF">2026-02-27T08:13:08Z</dcterms:modified>
</cp:coreProperties>
</file>