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7"/>
        <w:tblW w:w="0" w:type="auto"/>
        <w:tblInd w:w="4928" w:type="dxa"/>
        <w:tblLook w:val="04A0" w:firstRow="1" w:lastRow="0" w:firstColumn="1" w:lastColumn="0" w:noHBand="0" w:noVBand="1"/>
      </w:tblPr>
      <w:tblGrid>
        <w:gridCol w:w="4993"/>
      </w:tblGrid>
      <w:tr>
        <w:trPr/>
        <w:tc>
          <w:tcPr>
            <w:tcW w:w="520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ОТЧЕТ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О РЕАЛИЗАЦИИ </w:t>
      </w: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ПУБЛИЧН</w:t>
      </w: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ОЙ</w:t>
      </w: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ДЕКЛАРАЦИ</w:t>
      </w: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целей и задач Федерального агентства по недропользованию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на 2023</w:t>
      </w: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за 6 месяцев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r>
    </w:p>
    <w:p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ОРГАНИЗАЦИЯ РЕГИОНАЛЬНОГО ГЕОЛОГИЧЕСКОГО ИЗУЧЕНИЯ НЕДР</w:t>
      </w:r>
    </w:p>
    <w:p>
      <w:pPr>
        <w:pStyle w:val="876"/>
        <w:spacing w:after="0" w:line="20" w:lineRule="atLeast"/>
        <w:ind w:left="0"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</w:r>
    </w:p>
    <w:p>
      <w:pPr>
        <w:pStyle w:val="876"/>
        <w:spacing w:after="0" w:line="20" w:lineRule="atLeast"/>
        <w:ind w:left="0"/>
        <w:rPr>
          <w:b/>
          <w:i/>
          <w:color w:val="f79646" w:themeColor="accent6"/>
          <w:sz w:val="28"/>
          <w:szCs w:val="28"/>
          <w:highlight w:val="white"/>
        </w:rPr>
      </w:pPr>
      <w:r>
        <w:rPr>
          <w:b/>
          <w:i/>
          <w:color w:val="f79646" w:themeColor="accent6"/>
          <w:sz w:val="28"/>
          <w:szCs w:val="28"/>
          <w:highlight w:val="white"/>
        </w:rPr>
        <w:t xml:space="preserve">Цель 1. Повышение степени геологической, геофизической и гидрогеологической изученности территории РФ и ее континентального шельфа,</w:t>
      </w:r>
      <w:r>
        <w:rPr>
          <w:b/>
          <w:color w:val="f79646" w:themeColor="accent6"/>
          <w:sz w:val="28"/>
          <w:szCs w:val="28"/>
          <w:highlight w:val="white"/>
        </w:rPr>
        <w:t xml:space="preserve"> </w:t>
      </w:r>
      <w:r>
        <w:rPr>
          <w:b/>
          <w:i/>
          <w:color w:val="f79646" w:themeColor="accent6"/>
          <w:sz w:val="28"/>
          <w:szCs w:val="28"/>
          <w:highlight w:val="white"/>
        </w:rPr>
        <w:t xml:space="preserve">государств</w:t>
      </w:r>
      <w:r>
        <w:rPr>
          <w:b/>
          <w:i/>
          <w:color w:val="f79646" w:themeColor="accent6"/>
          <w:sz w:val="28"/>
          <w:szCs w:val="28"/>
          <w:highlight w:val="white"/>
        </w:rPr>
        <w:t xml:space="preserve">енный мониторинг состояния недр</w:t>
      </w:r>
      <w:r>
        <w:rPr>
          <w:color w:val="f79646" w:themeColor="accent6"/>
        </w:rPr>
      </w:r>
    </w:p>
    <w:p>
      <w:pPr>
        <w:pStyle w:val="876"/>
        <w:spacing w:after="0" w:line="20" w:lineRule="atLeast"/>
        <w:ind w:left="0"/>
        <w:rPr>
          <w:b/>
          <w:i/>
          <w:color w:val="92d050"/>
          <w:sz w:val="28"/>
          <w:szCs w:val="28"/>
          <w:highlight w:val="white"/>
        </w:rPr>
      </w:pPr>
      <w:r>
        <w:rPr>
          <w:b/>
          <w:i/>
          <w:color w:val="92d050"/>
          <w:sz w:val="28"/>
          <w:szCs w:val="28"/>
          <w:highlight w:val="white"/>
        </w:rPr>
      </w:r>
      <w:r>
        <w:rPr>
          <w:color w:val="92d050"/>
          <w:highlight w:val="white"/>
        </w:rPr>
      </w:r>
    </w:p>
    <w:p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целях обеспечения прироста геологической, геофизической и гидрогеологической изученности территории России в первом полугодии 202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 года выполнялись и ведутся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настоящее время региональные гео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лого-геофизические и геолого-съё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мочные работы, направленные на геологическое изучение территорий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 воспроизводство минерально-сырьевой базы на Северо-Западе, Северном Кавказе, Урале, в Сибири, Забайкалье, на Дальнем Востоке и в Арктиче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ской зоне Российской Федерации.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Также выполнялись работы по созданию государственной сети опорных геолого-геофизических профилей на Дальнем Востоке и в Забайкалье для обеспечения глубинной геолого-геофизической изученности территории России и ее континентального шельфа. </w:t>
      </w:r>
      <w:r>
        <w:rPr>
          <w:color w:val="auto"/>
        </w:rPr>
      </w:r>
    </w:p>
    <w:p>
      <w:pPr>
        <w:tabs>
          <w:tab w:val="left" w:pos="426" w:leader="none"/>
        </w:tabs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Выполнялись мелко- и среднемасштабные гидрогеологические и инженерно-геологические съемки на Северном Кавказе, Дальнем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Востоке, в Арктической зоне и регионах России с напряженной водохозяйственной обстановкой для выявления перспективных участков для постановки поисково-оценочных работ на подземные воды и инженерно-геологического обоснования районов перспективного освоения.</w:t>
      </w:r>
      <w:r>
        <w:rPr>
          <w:color w:val="auto"/>
        </w:rPr>
      </w:r>
    </w:p>
    <w:p>
      <w:pPr>
        <w:tabs>
          <w:tab w:val="left" w:pos="426" w:leader="none"/>
        </w:tabs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Учитывая специфику вышеуказанных работ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значение индикаторов достижения цели представляется возможным определить только по итогам года в целом.</w:t>
      </w:r>
      <w:r>
        <w:rPr>
          <w:color w:val="auto"/>
        </w:rPr>
      </w:r>
    </w:p>
    <w:p>
      <w:pPr>
        <w:tabs>
          <w:tab w:val="left" w:pos="426" w:leader="none"/>
        </w:tabs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В целях осуществл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ения государственного мониторинга состояния недр проводились геолого-геофизические работы по прогнозу землетрясений, включая оценку сейсмогеодинамического состояния Северо-Кавказского, Алтае-Саянского, Байкальского и Дальневосточного сейсмоопасных регионов</w:t>
      </w:r>
      <w:r>
        <w:rPr>
          <w:color w:val="auto"/>
          <w:highlight w:val="white"/>
        </w:rPr>
        <w:t xml:space="preserve"> (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103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 наблюдательных скважинах и на 8 полигонах)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 с направлением информационной продукции в МЧС России и Российский экспертный совет по прогнозированию землетрясений и оценке сейсмической опасности РАН. Выполнение данных работ будет продолжено во втором полугодии 202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 года.</w:t>
      </w:r>
      <w:r>
        <w:rPr>
          <w:color w:val="auto"/>
        </w:rPr>
      </w:r>
    </w:p>
    <w:p>
      <w:pPr>
        <w:tabs>
          <w:tab w:val="left" w:pos="426" w:leader="none"/>
        </w:tabs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На постоянной основе организовано проведение государственного мониторинга состояния недр на всей территории Российской Федерации</w:t>
      </w:r>
      <w:r>
        <w:rPr>
          <w:color w:val="auto"/>
          <w:highlight w:val="white"/>
        </w:rPr>
        <w:t xml:space="preserve"> (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507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пунктах наблюдений за опасными экзогенными геологическими процессами и на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5920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 пунктах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 за режимом подземных вод и их загрязнением), включая оценк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 состояния и загрязнения подземных вод, опасных экзогенных геологических процессов, подготовку информационных бюллетеней, сводок, сезонных прогнозов.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Результаты работ по прогнозу землетрясений и государственному мониторингу состояния недр, выполненные в первом полугодии 202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3 года, размещаются на сайте Центра государственного мониторинга состояния недр ФГБУ «Гидроспецгеология» (</w:t>
      </w:r>
      <w:hyperlink r:id="rId12" w:tooltip="http://www.geomonitoring.ru" w:history="1">
        <w:r>
          <w:rPr>
            <w:rFonts w:ascii="Times New Roman" w:hAnsi="Times New Roman" w:eastAsia="Calibri" w:cs="Times New Roman"/>
            <w:color w:val="auto"/>
            <w:sz w:val="28"/>
            <w:szCs w:val="28"/>
            <w:highlight w:val="white"/>
            <w:u w:val="single"/>
            <w:lang w:val="en-US"/>
          </w:rPr>
          <w:t xml:space="preserve">www</w:t>
        </w:r>
        <w:r>
          <w:rPr>
            <w:rFonts w:ascii="Times New Roman" w:hAnsi="Times New Roman" w:eastAsia="Calibri" w:cs="Times New Roman"/>
            <w:color w:val="auto"/>
            <w:sz w:val="28"/>
            <w:szCs w:val="28"/>
            <w:highlight w:val="white"/>
            <w:u w:val="single"/>
          </w:rPr>
          <w:t xml:space="preserve">.</w:t>
        </w:r>
        <w:r>
          <w:rPr>
            <w:rFonts w:ascii="Times New Roman" w:hAnsi="Times New Roman" w:eastAsia="Calibri" w:cs="Times New Roman"/>
            <w:color w:val="auto"/>
            <w:sz w:val="28"/>
            <w:szCs w:val="28"/>
            <w:highlight w:val="white"/>
            <w:u w:val="single"/>
            <w:lang w:val="en-US"/>
          </w:rPr>
          <w:t xml:space="preserve">geomonitoring</w:t>
        </w:r>
        <w:r>
          <w:rPr>
            <w:rFonts w:ascii="Times New Roman" w:hAnsi="Times New Roman" w:eastAsia="Calibri" w:cs="Times New Roman"/>
            <w:color w:val="auto"/>
            <w:sz w:val="28"/>
            <w:szCs w:val="28"/>
            <w:highlight w:val="white"/>
            <w:u w:val="single"/>
          </w:rPr>
          <w:t xml:space="preserve">.</w:t>
        </w:r>
        <w:r>
          <w:rPr>
            <w:rFonts w:ascii="Times New Roman" w:hAnsi="Times New Roman" w:eastAsia="Calibri" w:cs="Times New Roman"/>
            <w:color w:val="auto"/>
            <w:sz w:val="28"/>
            <w:szCs w:val="28"/>
            <w:highlight w:val="white"/>
            <w:u w:val="single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) и досту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пны для просмотра и скачивания.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e36c0a" w:themeColor="accent6" w:themeShade="BF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Цель 2. Обеспечение международно-правового оформления внешних границ континентального шельфа Российской Федера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ции в Северном Ледовитом океане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r>
    </w:p>
    <w:p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highlight w:val="white"/>
        </w:rPr>
        <w:t xml:space="preserve">В первом полугодии 2023 года в рамках 57 сессии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Комиссии по границам континентального шельфа</w:t>
      </w:r>
      <w:r>
        <w:rPr>
          <w:rFonts w:ascii="Times New Roman" w:hAnsi="Times New Roman" w:eastAsia="Calibri" w:cs="Times New Roman"/>
          <w:color w:val="auto"/>
          <w:sz w:val="28"/>
          <w:highlight w:val="white"/>
        </w:rPr>
        <w:t xml:space="preserve"> продолжается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работа по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дготовке материалов обеспечивающих защиту частичного пересмотренного Представления на установление в соответствии со статьей 76 Конвенции ООН по морскому праву 1982 г. внешней границы континентального шельфа Российской Федерации в Северном Ледовитом океане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6"/>
        <w:spacing w:after="0"/>
        <w:ind w:left="0"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Цель 3. Обеспечение геополитических интересов Российской Федерации в Арктике, Антарктике и Мировом океане</w:t>
      </w:r>
    </w:p>
    <w:p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r>
    </w:p>
    <w:p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В первом полугодии 2023 года в рамках 68-й Российской антарктической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экспедиции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 проводились: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полевые работы  в море Дейвиса  (морские геофизические работы) и в северо-западной части Земли Принцессы Елизаветы (аэрогеофизическая съемка масштаба 1:100 000)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;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- 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олевые работы на континентальной окраине Берега Сабрина Земли Уилкса  (сейсмические, магнитные и гравитационные  наблюдения; многолучевое эхолотирование) и  в районе холмов Ларсеманн, Земля Принцессы Елизаветы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;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камеральные работы: предварительная обработка и интерпретация полевых геологических и геофизических данных, лабораторные исследования, составление комплектов предварительных карт и схем геолого-геофизического содержания, разрезов, каталогов, баз данных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Продолжаются работы по изучению и оценке минерально-сырьевого потенциала Антарктиды и ее окраинных морей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.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В соответствии со 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тратегией российского присутствия на архипелаге Шпицберген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в первом полугодии 2023 года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нач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ато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c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оставление актуализированных авторских вариантов карт комплекта Геологической карты масштаба 1:1 000 000 листов Т-32-37, U-32-37 (Шпицберген): в составе геологическая карта доплиоценовых образований, геологическая карта плиоцен-четвертичных образований,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учетом вновь полученных данных полевых исследований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. Начато проведение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полевых работ на ключевом участке северного побережья Ис-фьорада в южной части Земли Оскара II с прилегающей территорией (центральный район).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6"/>
        <w:spacing w:before="0" w:after="0"/>
        <w:ind w:left="0" w:firstLine="709"/>
        <w:jc w:val="center"/>
        <w:rPr>
          <w:b/>
          <w:color w:val="5f497a" w:themeColor="accent4" w:themeShade="BF"/>
          <w:sz w:val="28"/>
          <w:szCs w:val="28"/>
        </w:rPr>
      </w:pPr>
      <w:r>
        <w:rPr>
          <w:b/>
          <w:color w:val="5f497a" w:themeColor="accent4" w:themeShade="BF"/>
          <w:sz w:val="28"/>
          <w:szCs w:val="28"/>
        </w:rPr>
        <w:t xml:space="preserve">ОРГАНИЗАЦИЯ РАБОТ ПО </w:t>
      </w:r>
      <w:r>
        <w:rPr>
          <w:b/>
          <w:color w:val="5f497a" w:themeColor="accent4" w:themeShade="BF"/>
          <w:sz w:val="28"/>
          <w:szCs w:val="28"/>
        </w:rPr>
        <w:t xml:space="preserve">ВОСПРОИЗВОДСТВ</w:t>
      </w:r>
      <w:r>
        <w:rPr>
          <w:b/>
          <w:color w:val="5f497a" w:themeColor="accent4" w:themeShade="BF"/>
          <w:sz w:val="28"/>
          <w:szCs w:val="28"/>
        </w:rPr>
        <w:t xml:space="preserve">У</w:t>
      </w:r>
      <w:r>
        <w:rPr>
          <w:b/>
          <w:color w:val="5f497a" w:themeColor="accent4" w:themeShade="BF"/>
          <w:sz w:val="28"/>
          <w:szCs w:val="28"/>
        </w:rPr>
        <w:t xml:space="preserve"> МИНЕРАЛЬНО-СЫРЬЕВОЙ БАЗЫ </w:t>
      </w:r>
      <w:r>
        <w:rPr>
          <w:b/>
          <w:color w:val="5f497a" w:themeColor="accent4" w:themeShade="BF"/>
          <w:sz w:val="28"/>
          <w:szCs w:val="28"/>
        </w:rPr>
        <w:t xml:space="preserve">РОССИИ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Воспроизводство минерально-сырьевой базы углеводородного сырья (УВС)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и подземных вод (ПВ)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r>
    </w:p>
    <w:p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ВМСБ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УВС</w:t>
      </w:r>
    </w:p>
    <w:p>
      <w:pPr>
        <w:spacing w:after="0" w:line="240" w:lineRule="auto"/>
        <w:ind w:firstLine="708"/>
        <w:jc w:val="both"/>
        <w:rPr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целях воспроизводства минерально-сырьевой базы углеводородного сырья в первом полугодии 2023 года за счет средств федерального бюджета на территории и акватории Российской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Федерации выплняются региональные работы на 29 объектах, из них  наибольшее количество объектов сосредоточено в пределах перспективных зон нефтегазоносных провинций России: в отдаленных районах Восточной Сибири (8) и Дальнего Востока (5), где возможно откр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ытие новых крупных месторождений.</w:t>
      </w:r>
      <w:r>
        <w:rPr>
          <w:color w:val="auto"/>
        </w:rPr>
      </w:r>
    </w:p>
    <w:p>
      <w:pPr>
        <w:spacing w:after="0" w:line="240" w:lineRule="auto"/>
        <w:ind w:firstLine="708"/>
        <w:jc w:val="both"/>
        <w:rPr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За первое полугодие 2023 года на Государственный баланс запасов полезных ископаемых были впервые поставлены запасы 14 месторождений углеводородного сырья, </w:t>
      </w:r>
      <w:r>
        <w:rPr>
          <w:rFonts w:ascii="Times New Roman" w:hAnsi="Times New Roman" w:eastAsia="Calibri" w:cs="Times New Roman"/>
          <w:color w:val="auto"/>
          <w:sz w:val="28"/>
          <w:szCs w:val="24"/>
          <w:highlight w:val="white"/>
        </w:rPr>
        <w:t xml:space="preserve">том числе одно крупное по запасам газа нефтегазоконденсатное месторождение им. Р.У Маганова в акватор</w:t>
      </w:r>
      <w:r>
        <w:rPr>
          <w:rFonts w:ascii="Times New Roman" w:hAnsi="Times New Roman" w:eastAsia="Calibri" w:cs="Times New Roman"/>
          <w:color w:val="auto"/>
          <w:sz w:val="28"/>
          <w:szCs w:val="24"/>
          <w:highlight w:val="white"/>
        </w:rPr>
        <w:t xml:space="preserve">ии Каспийского моря, и среднее по запасам нефти месторождение им. В.П. Орлова в Оренбургской области. Остальные месторождения мелкие и очень мелкие по запасам нефти и открыты на территории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 Приволжского ФО. Суммарные извлекаемые запасы по открытым месторожд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ениям по категориям С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vertAlign w:val="subscript"/>
        </w:rPr>
        <w:t xml:space="preserve">1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+С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vertAlign w:val="subscript"/>
        </w:rPr>
        <w:t xml:space="preserve">2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составили по нефти </w:t>
      </w:r>
      <w:r>
        <w:rPr>
          <w:rFonts w:ascii="Times New Roman" w:hAnsi="Times New Roman" w:eastAsia="Calibri" w:cs="Times New Roman"/>
          <w:color w:val="auto"/>
          <w:sz w:val="28"/>
          <w:szCs w:val="24"/>
          <w:highlight w:val="white"/>
        </w:rPr>
        <w:t xml:space="preserve">20,7 млн т, по газу 136,2 млрд.м</w:t>
      </w:r>
      <w:r>
        <w:rPr>
          <w:rFonts w:ascii="Times New Roman" w:hAnsi="Times New Roman" w:eastAsia="Calibri" w:cs="Times New Roman"/>
          <w:color w:val="auto"/>
          <w:sz w:val="28"/>
          <w:szCs w:val="24"/>
          <w:highlight w:val="white"/>
          <w:vertAlign w:val="superscript"/>
        </w:rPr>
        <w:t xml:space="preserve">3</w:t>
      </w:r>
      <w:r>
        <w:rPr>
          <w:rFonts w:ascii="Times New Roman" w:hAnsi="Times New Roman" w:eastAsia="Calibri" w:cs="Times New Roman"/>
          <w:color w:val="auto"/>
          <w:sz w:val="28"/>
          <w:szCs w:val="24"/>
          <w:highlight w:val="white"/>
        </w:rPr>
        <w:t xml:space="preserve">, по конденсату 24,4 млн т.</w:t>
      </w:r>
      <w:r>
        <w:rPr>
          <w:color w:val="auto"/>
        </w:rPr>
      </w:r>
    </w:p>
    <w:p>
      <w:pPr>
        <w:spacing w:after="0" w:line="240" w:lineRule="auto"/>
        <w:ind w:firstLine="708"/>
        <w:jc w:val="both"/>
        <w:rPr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По итогам первого полугодия 2023 года прирост запасов промышленных категорий по результатам геологоразведочных работ, проводимых недропользователями з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а счет собственных средств, составил по: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color w:val="auto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- жидким углеводородам (нефть+конденсат) по категориям АВ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vertAlign w:val="sub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vertAlign w:val="sub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– 43,5 млн.т.;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- газу (свободный газ + газ газовых шапок) по категориям АВ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vertAlign w:val="sub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vertAlign w:val="sub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– 305 млрд.м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vertAlign w:val="superscript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.</w:t>
      </w:r>
      <w:r>
        <w:rPr>
          <w:color w:val="auto"/>
        </w:rPr>
      </w:r>
      <w:bookmarkStart w:id="0" w:name="_GoBack"/>
      <w:bookmarkEnd w:id="0"/>
      <w:r>
        <w:rPr>
          <w:rFonts w:ascii="Times New Roman" w:hAnsi="Times New Roman" w:eastAsia="Times New Roman" w:cs="Times New Roman"/>
          <w:color w:val="auto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ВМСБ ПВ</w:t>
      </w:r>
    </w:p>
    <w:p>
      <w:pPr>
        <w:spacing w:after="0" w:line="240" w:lineRule="auto"/>
        <w:ind w:firstLine="708"/>
        <w:jc w:val="both"/>
        <w:rPr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В первом полугодии 2023 года геологоразведочные работы по обеспечению воспроизводства ресурсной базы подземных вод за счет средств федерального бюджета проводились и продолжаются на 12 объектах в рамках комплекса процессных мероприятий «Государственное гео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логическое изучение недр и обеспечение эффективной реализации государственных функций в сфере недропользования» и на 14 объектах в рамках Федерального проекта «Геология: Возрождение легенды». Начаты работы по 7 новым объектам.</w:t>
      </w:r>
      <w:r>
        <w:rPr>
          <w:color w:val="auto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Работы проводятся во всех фед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еральных округах Российской Федерации (Уральский федеральный округ – 7 объектов, Дальневосточный федеральный округ - 6, Южный федеральный округ - 5, Сибирский федеральный округ - 5, Северо-Западный федеральный округ – 4, Центральный, Приволжский, Северо-Ка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вказский федеральные округа – по 2 объекта). </w:t>
      </w:r>
      <w:r>
        <w:rPr>
          <w:color w:val="auto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  <w:t xml:space="preserve">Воспроизводство минерально-сырьевой базы твердых полезных ископаемых (ТПИ)</w:t>
      </w:r>
      <w:r>
        <w:rPr>
          <w:color w:val="f79646" w:themeColor="accent6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>
        <w:rPr>
          <w:rFonts w:ascii="Times New Roman" w:hAnsi="Times New Roman" w:cs="Times New Roman"/>
          <w:b/>
          <w:color w:val="92d050"/>
          <w:sz w:val="28"/>
          <w:szCs w:val="28"/>
        </w:rPr>
      </w:r>
      <w:r>
        <w:rPr>
          <w:color w:val="92d050"/>
        </w:rPr>
      </w:r>
    </w:p>
    <w:p>
      <w:pPr>
        <w:spacing w:after="0" w:line="240" w:lineRule="auto"/>
        <w:ind w:left="0" w:right="0" w:firstLine="709"/>
        <w:jc w:val="both"/>
        <w:rPr>
          <w:color w:val="auto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 целях воспроизводства минерально-сырьевой базы твердых полезных ис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копаемых в первом полугодии 2023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года за счет средств федерального бюджета на территории Российской Федерации проводились работы на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56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объектах на территории практически всех федеральных округов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(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Дальневосточный федеральный округ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31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 Сибирский федеральный округ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10, Северо-Западный федеральный округ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4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 Северо-Кавказский федеральный округ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Уральский федеральный округ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Приволжский федеральный округ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2,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Центральный федеральный округ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 2023 году завершаются работы на 24 объектах с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планируемыми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приростами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прогнозных ресурсов категорий Р</w:t>
      </w:r>
      <w:r>
        <w:rPr>
          <w:rFonts w:ascii="Times New Roman" w:hAnsi="Times New Roman" w:eastAsia="Calibri" w:cs="Times New Roman"/>
          <w:color w:val="auto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+Р</w:t>
      </w:r>
      <w:r>
        <w:rPr>
          <w:rFonts w:ascii="Times New Roman" w:hAnsi="Times New Roman" w:eastAsia="Calibri" w:cs="Times New Roman"/>
          <w:color w:val="auto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: урана – 30 тыс. т,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меди – 2420 тыс.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 т,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свинца – 1305 тыс. т,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цинка – 2160 тыс.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 титана – 20 млн т,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ab/>
        <w:t xml:space="preserve">сурьмы – 100 тыс.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 золота – 774 т,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серебра – 1,65 тыс.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 т и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светложгущихся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огнеупорных и тугоплавких глин – 40 млн т.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Кроме того, ожидается прирост запасов титана по категории С</w:t>
      </w:r>
      <w:r>
        <w:rPr>
          <w:rFonts w:ascii="Times New Roman" w:hAnsi="Times New Roman" w:eastAsia="Calibri" w:cs="Times New Roman"/>
          <w:color w:val="auto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в количестве 15 млн т.</w:t>
      </w:r>
      <w:r>
        <w:rPr>
          <w:color w:val="auto"/>
        </w:rPr>
      </w:r>
    </w:p>
    <w:p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За истекший период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года по результатам геологоразведочных работ за счет средств недропользователей впервые на Государственный баланс поставлены запасы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81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месторождения твердых полезных ископаемых, в т.ч.: </w:t>
      </w:r>
      <w:r>
        <w:rPr>
          <w:color w:val="auto"/>
        </w:rPr>
      </w:r>
    </w:p>
    <w:p>
      <w:pPr>
        <w:pStyle w:val="876"/>
        <w:numPr>
          <w:numId w:val="15"/>
          <w:ilvl w:val="0"/>
        </w:numPr>
        <w:spacing w:after="0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золото –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68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 (из них россыпные –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60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);</w:t>
      </w:r>
      <w:r>
        <w:rPr>
          <w:color w:val="auto"/>
        </w:rPr>
      </w:r>
    </w:p>
    <w:p>
      <w:pPr>
        <w:pStyle w:val="876"/>
        <w:numPr>
          <w:numId w:val="15"/>
          <w:ilvl w:val="0"/>
        </w:numPr>
        <w:spacing w:after="0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неметаллические полезные ископаемые –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10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;</w:t>
      </w:r>
      <w:r>
        <w:rPr>
          <w:color w:val="auto"/>
        </w:rPr>
      </w:r>
    </w:p>
    <w:p>
      <w:pPr>
        <w:pStyle w:val="876"/>
        <w:numPr>
          <w:numId w:val="15"/>
          <w:ilvl w:val="0"/>
        </w:numPr>
        <w:spacing w:after="0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уголь –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1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;</w:t>
      </w:r>
      <w:r>
        <w:rPr>
          <w:color w:val="auto"/>
        </w:rPr>
      </w:r>
    </w:p>
    <w:p>
      <w:pPr>
        <w:pStyle w:val="876"/>
        <w:numPr>
          <w:numId w:val="15"/>
          <w:ilvl w:val="0"/>
        </w:numPr>
        <w:spacing w:after="0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цветные металлы –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2.</w:t>
      </w:r>
      <w:r>
        <w:rPr>
          <w:color w:val="auto"/>
        </w:rPr>
      </w:r>
    </w:p>
    <w:p>
      <w:pPr>
        <w:spacing w:after="0" w:line="240" w:lineRule="auto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Наиболее значимыми открытиями являются: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золоторудное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месторождение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Светловское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в Иркутской области – 46,4 т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золота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;</w:t>
      </w:r>
      <w:r>
        <w:rPr>
          <w:color w:val="auto"/>
        </w:rPr>
      </w:r>
    </w:p>
    <w:p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Верхнее-Золотое месторождение серебряно-медных в Приморском крае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311,1 тыс. т меди и 693,1 т серебра;</w:t>
      </w:r>
      <w:r>
        <w:rPr>
          <w:color w:val="auto"/>
        </w:rPr>
      </w:r>
    </w:p>
    <w:p>
      <w:pPr>
        <w:pStyle w:val="895"/>
        <w:shd w:val="clear" w:color="auto" w:fill="auto"/>
        <w:spacing w:before="0" w:after="0" w:line="240" w:lineRule="auto"/>
        <w:ind w:left="23" w:right="23" w:firstLine="680"/>
        <w:rPr>
          <w:color w:val="auto"/>
        </w:rPr>
      </w:pPr>
      <w:r>
        <w:rPr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 xml:space="preserve">–</w:t>
      </w:r>
      <w:r>
        <w:rPr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>
        <w:rPr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 xml:space="preserve">месторождение полиметаллических руд </w:t>
      </w:r>
      <w:r>
        <w:rPr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 xml:space="preserve">Талман</w:t>
      </w:r>
      <w:r>
        <w:rPr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 xml:space="preserve"> в Забайкальском крае – 438,8 тыс. т свинца, 541,1 тыс. т цинка, 48 тыс. т сурьмы, 1644 т серебра и 7,2 т золота.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Выполнение показателя по воспроизводству запасов (отношение прироста запасов к добыче из недр в %) важнейших видов полезных ископаемых на уровне,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предусмотренном Стратегией развития минерально-сырьевой базы Российской Федерации, по итогам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en-US" w:eastAsia="ru-RU" w:bidi="ru-RU"/>
        </w:rPr>
        <w:t xml:space="preserve">I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полугодия 2023 года составило:</w:t>
      </w:r>
      <w:r>
        <w:rPr>
          <w:color w:val="auto"/>
        </w:rPr>
      </w:r>
    </w:p>
    <w:p>
      <w:pPr>
        <w:pStyle w:val="876"/>
        <w:numPr>
          <w:numId w:val="14"/>
          <w:ilvl w:val="0"/>
        </w:numPr>
        <w:spacing w:after="0"/>
        <w:rPr>
          <w:color w:val="auto"/>
        </w:rPr>
      </w:pPr>
      <w:r>
        <w:rPr>
          <w:rFonts w:eastAsia="Arial" w:cs="Times New Roman"/>
          <w:b/>
          <w:color w:val="auto"/>
          <w:sz w:val="28"/>
          <w:szCs w:val="28"/>
          <w:highlight w:val="white"/>
          <w:lang w:eastAsia="ru-RU" w:bidi="ru-RU"/>
        </w:rPr>
        <w:t xml:space="preserve">«Первая группа» </w:t>
      </w:r>
      <w:r>
        <w:rPr>
          <w:rFonts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полезных ископаемых (плановое значение 50%):</w:t>
      </w:r>
      <w:r>
        <w:rPr>
          <w:color w:val="auto"/>
        </w:rPr>
      </w:r>
    </w:p>
    <w:p>
      <w:pPr>
        <w:spacing w:after="0" w:line="240" w:lineRule="auto"/>
        <w:ind w:left="710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уголь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2%;</w:t>
      </w:r>
      <w:r>
        <w:rPr>
          <w:color w:val="auto"/>
        </w:rPr>
      </w:r>
    </w:p>
    <w:p>
      <w:pPr>
        <w:spacing w:after="0" w:line="240" w:lineRule="auto"/>
        <w:ind w:left="710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железо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30%;</w:t>
      </w:r>
      <w:r>
        <w:rPr>
          <w:color w:val="auto"/>
        </w:rPr>
      </w:r>
    </w:p>
    <w:p>
      <w:pPr>
        <w:spacing w:after="0" w:line="240" w:lineRule="auto"/>
        <w:ind w:left="710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медь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51%;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никель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0%.</w:t>
      </w:r>
      <w:r>
        <w:rPr>
          <w:color w:val="auto"/>
        </w:rPr>
      </w:r>
    </w:p>
    <w:p>
      <w:pPr>
        <w:pStyle w:val="876"/>
        <w:numPr>
          <w:numId w:val="14"/>
          <w:ilvl w:val="0"/>
        </w:numPr>
        <w:spacing w:after="0"/>
        <w:rPr>
          <w:color w:val="auto"/>
        </w:rPr>
      </w:pPr>
      <w:r>
        <w:rPr>
          <w:rFonts w:eastAsia="Arial" w:cs="Times New Roman"/>
          <w:b/>
          <w:color w:val="auto"/>
          <w:sz w:val="28"/>
          <w:szCs w:val="28"/>
          <w:highlight w:val="white"/>
          <w:lang w:eastAsia="ru-RU" w:bidi="ru-RU"/>
        </w:rPr>
        <w:t xml:space="preserve">«Вторая группа»</w:t>
      </w:r>
      <w:r>
        <w:rPr>
          <w:rFonts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полезных ископаемых (плановое значение 100%):</w:t>
      </w:r>
      <w:r>
        <w:rPr>
          <w:color w:val="auto"/>
        </w:rPr>
      </w:r>
    </w:p>
    <w:p>
      <w:pPr>
        <w:spacing w:after="0" w:line="240" w:lineRule="auto"/>
        <w:ind w:left="709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свинец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100%;</w:t>
      </w:r>
      <w:r>
        <w:rPr>
          <w:color w:val="auto"/>
        </w:rPr>
      </w:r>
    </w:p>
    <w:p>
      <w:pPr>
        <w:spacing w:after="0" w:line="240" w:lineRule="auto"/>
        <w:ind w:left="709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цинк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100%</w:t>
      </w:r>
      <w:r>
        <w:rPr>
          <w:color w:val="auto"/>
        </w:rPr>
      </w:r>
    </w:p>
    <w:p>
      <w:pPr>
        <w:spacing w:after="0" w:line="240" w:lineRule="auto"/>
        <w:ind w:left="709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золото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71%;</w:t>
      </w:r>
      <w:r>
        <w:rPr>
          <w:color w:val="auto"/>
        </w:rPr>
      </w:r>
    </w:p>
    <w:p>
      <w:pPr>
        <w:spacing w:after="0" w:line="240" w:lineRule="auto"/>
        <w:ind w:left="709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алмазы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100%.</w:t>
      </w:r>
      <w:r>
        <w:rPr>
          <w:color w:val="auto"/>
        </w:rPr>
      </w:r>
    </w:p>
    <w:p>
      <w:pPr>
        <w:pStyle w:val="876"/>
        <w:numPr>
          <w:numId w:val="14"/>
          <w:ilvl w:val="0"/>
        </w:numPr>
        <w:spacing w:after="0"/>
        <w:rPr>
          <w:color w:val="auto"/>
        </w:rPr>
      </w:pPr>
      <w:r>
        <w:rPr>
          <w:rFonts w:eastAsia="Arial" w:cs="Times New Roman"/>
          <w:b/>
          <w:color w:val="auto"/>
          <w:sz w:val="28"/>
          <w:szCs w:val="28"/>
          <w:highlight w:val="white"/>
          <w:lang w:eastAsia="ru-RU" w:bidi="ru-RU"/>
        </w:rPr>
        <w:t xml:space="preserve">«Третья группа»</w:t>
      </w:r>
      <w:r>
        <w:rPr>
          <w:rFonts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полезных ископаемых (плановое значение 75%):</w:t>
      </w:r>
      <w:r>
        <w:rPr>
          <w:color w:val="auto"/>
        </w:rPr>
      </w:r>
    </w:p>
    <w:p>
      <w:pPr>
        <w:spacing w:after="0" w:line="240" w:lineRule="auto"/>
        <w:ind w:left="710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уран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0%;</w:t>
      </w:r>
      <w:r>
        <w:rPr>
          <w:color w:val="auto"/>
        </w:rPr>
      </w:r>
    </w:p>
    <w:p>
      <w:pPr>
        <w:spacing w:after="0" w:line="240" w:lineRule="auto"/>
        <w:ind w:left="710"/>
        <w:rPr>
          <w:color w:val="auto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хром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0%;</w:t>
      </w:r>
      <w:r>
        <w:rPr>
          <w:color w:val="auto"/>
        </w:rPr>
      </w:r>
    </w:p>
    <w:p>
      <w:pPr>
        <w:spacing w:after="120" w:line="240" w:lineRule="auto"/>
        <w:ind w:left="710"/>
        <w:rPr>
          <w:rFonts w:ascii="Times New Roman" w:hAnsi="Times New Roman" w:eastAsia="Calibri" w:cs="Times New Roman"/>
          <w:b w:val="0"/>
          <w:bCs w:val="0"/>
          <w:i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титан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eastAsia="ru-RU" w:bidi="ru-RU"/>
        </w:rPr>
        <w:t xml:space="preserve"> 0%.</w:t>
      </w:r>
      <w:r>
        <w:rPr>
          <w:color w:val="auto"/>
        </w:rPr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92d050"/>
          <w:sz w:val="28"/>
          <w:szCs w:val="28"/>
        </w:rPr>
      </w:pPr>
      <w:r>
        <w:rPr>
          <w:rFonts w:eastAsia="Calibri"/>
          <w:color w:val="92d050"/>
          <w:sz w:val="28"/>
          <w:szCs w:val="28"/>
        </w:rPr>
      </w:r>
      <w:r>
        <w:rPr>
          <w:color w:val="92d050"/>
        </w:rPr>
      </w:r>
    </w:p>
    <w:p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СБОР, ХРАНЕНИЕ И ПРЕДОСТАВЛЕНИЕ В ПОЛЬЗОВАНИЕ ГЕОЛОГИЧЕСКОЙ ИНФОРМАЦИИ</w:t>
      </w:r>
    </w:p>
    <w:p>
      <w:pPr>
        <w:spacing w:before="120" w:after="0" w:line="240" w:lineRule="auto"/>
        <w:contextualSpacing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r>
    </w:p>
    <w:p>
      <w:pPr>
        <w:spacing w:before="120" w:after="0" w:line="240" w:lineRule="auto"/>
        <w:contextualSpacing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Цель. Повышение качества, полноты и оперативности сбора и использования геологической информации о недрах Российской Федерации и ее континентального шельфа для осуществления функций государственного управления и предоставления геологической информа</w:t>
      </w:r>
      <w:r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ции широкому кругу потребителей</w:t>
      </w:r>
    </w:p>
    <w:p>
      <w:pPr>
        <w:spacing w:before="120" w:after="0" w:line="240" w:lineRule="auto"/>
        <w:contextualSpacing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</w:r>
    </w:p>
    <w:p>
      <w:pPr>
        <w:pStyle w:val="876"/>
        <w:spacing w:before="0" w:after="0"/>
        <w:ind w:left="0" w:firstLine="709"/>
        <w:rPr>
          <w:color w:val="auto"/>
          <w:highlight w:val="white"/>
        </w:rPr>
      </w:pP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За первое полугодие 2023 года фонд геологической информации пополнился более 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чем на 105 тыс. единиц.</w:t>
      </w:r>
      <w:r>
        <w:rPr>
          <w:color w:val="auto"/>
        </w:rPr>
      </w:r>
    </w:p>
    <w:p>
      <w:pPr>
        <w:pStyle w:val="876"/>
        <w:spacing w:before="0" w:after="0"/>
        <w:ind w:left="0" w:firstLine="708"/>
        <w:rPr>
          <w:color w:val="auto"/>
          <w:highlight w:val="white"/>
        </w:rPr>
      </w:pP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Ч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исло интернет-обращений к фондовым материалам, в т.ч.  с использованием возможностей ФГИС 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«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ЕФГИ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»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 составило 134 тыс. ед. Количество обращений к интерактивной карте недропользования – 38 тыс., к ФГИС 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«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АСЛН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»</w:t>
      </w:r>
      <w:r>
        <w:rPr>
          <w:rFonts w:eastAsia="Calibri" w:cs="Times New Roman"/>
          <w:color w:val="auto"/>
          <w:sz w:val="28"/>
          <w:szCs w:val="28"/>
          <w:highlight w:val="white"/>
          <w:lang w:eastAsia="ru-RU"/>
        </w:rPr>
        <w:t xml:space="preserve"> – до 366 тыс.</w:t>
      </w:r>
      <w:r>
        <w:rPr>
          <w:color w:val="auto"/>
        </w:rPr>
      </w:r>
    </w:p>
    <w:p>
      <w:pPr>
        <w:pStyle w:val="876"/>
        <w:spacing w:before="0" w:after="0"/>
        <w:ind w:left="0" w:firstLine="708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876"/>
        <w:spacing w:before="0" w:after="0"/>
        <w:ind w:left="0"/>
        <w:rPr>
          <w:rFonts w:eastAsia="Times New Roman" w:cs="Times New Roman"/>
          <w:b/>
          <w:color w:val="5f497a" w:themeColor="accent4" w:themeShade="BF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5f497a" w:themeColor="accent4" w:themeShade="BF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5f497a" w:themeColor="accent4" w:themeShade="BF"/>
          <w:sz w:val="28"/>
          <w:szCs w:val="28"/>
          <w:lang w:eastAsia="ru-RU"/>
        </w:rPr>
        <w:t xml:space="preserve">ОРГАНИЗАЦИОННОЕ ОБЕСПЕЧЕНИЕ ГОСУДАРСТВЕННОЙ СИСТЕМЫ ЛИЦЕНЗИРОВАНИЯ ПОЛЬЗОВАНИЯ НЕДРАМИ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color w:val="e36c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e36c0a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i/>
          <w:color w:val="e36c0a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e36c0a"/>
          <w:sz w:val="28"/>
          <w:szCs w:val="28"/>
        </w:rPr>
        <w:t xml:space="preserve">Цель. Обеспечение комплексного рационального использования и охраны недр в целях защиты интересов государства и граждан Российской Федерации, </w:t>
      </w:r>
      <w:r>
        <w:rPr>
          <w:rFonts w:ascii="Times New Roman" w:hAnsi="Times New Roman" w:eastAsia="Calibri" w:cs="Times New Roman"/>
          <w:b/>
          <w:i/>
          <w:color w:val="e36c0a"/>
          <w:sz w:val="28"/>
          <w:szCs w:val="28"/>
        </w:rPr>
        <w:t xml:space="preserve">а также прав пользователей недр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color w:val="e36c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e36c0a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 первом полугодии 202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года Роснедрами и его территориальными органами было проведено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154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аукцион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ов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на право пользования недрами (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111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ТПИ,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37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УВС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6 – минеральные подземные воды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).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Право пользования недрами предоставлено по итогам  (в т.ч. с единственным участником) 94 аукционов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(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65 – ТПИ и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25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– УВС,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4 – минеральные подземные воды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).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Наиболее крупными по размеру разового платежа являются участки недр: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УВС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</w:t>
      </w:r>
      <w:r>
        <w:rPr>
          <w:color w:val="auto"/>
        </w:rPr>
      </w:r>
    </w:p>
    <w:p>
      <w:pPr>
        <w:numPr>
          <w:numId w:val="16"/>
          <w:ilvl w:val="0"/>
        </w:numPr>
        <w:spacing w:before="120" w:after="0" w:line="240" w:lineRule="auto"/>
        <w:ind w:left="992" w:right="0" w:hanging="283"/>
        <w:contextualSpacing/>
        <w:jc w:val="both"/>
        <w:rPr>
          <w:rFonts w:ascii="Times New Roman" w:hAnsi="Times New Roman" w:eastAsia="Calibri" w:cs="Times New Roman"/>
          <w:color w:val="auto"/>
          <w:highlight w:val="whit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</w:rPr>
        <w:t xml:space="preserve">Мишкинский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</w:rPr>
        <w:t xml:space="preserve">-2 (Удмуртская Республика).</w:t>
      </w:r>
      <w:r>
        <w:rPr>
          <w:color w:val="auto"/>
          <w:highlight w:val="whit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ТПИ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</w:t>
      </w:r>
      <w:r>
        <w:rPr>
          <w:color w:val="auto"/>
        </w:rPr>
      </w:r>
    </w:p>
    <w:p>
      <w:pPr>
        <w:numPr>
          <w:numId w:val="17"/>
          <w:ilvl w:val="0"/>
        </w:numPr>
        <w:spacing w:before="120"/>
        <w:ind w:left="993" w:right="0" w:hanging="284"/>
        <w:contextualSpacing/>
        <w:jc w:val="both"/>
        <w:rPr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месторождение Полмостундровское (литий, Мурманская область);</w:t>
      </w:r>
      <w:r>
        <w:rPr>
          <w:color w:val="auto"/>
          <w:highlight w:val="white"/>
        </w:rPr>
      </w:r>
    </w:p>
    <w:p>
      <w:pPr>
        <w:numPr>
          <w:numId w:val="17"/>
          <w:ilvl w:val="0"/>
        </w:numPr>
        <w:spacing w:before="120"/>
        <w:ind w:left="992" w:right="0" w:hanging="283"/>
        <w:contextualSpacing/>
        <w:jc w:val="both"/>
        <w:rPr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Месторождение Колмозерское (литий, Мурманская область);</w:t>
      </w:r>
      <w:r>
        <w:rPr>
          <w:color w:val="auto"/>
          <w:highlight w:val="white"/>
        </w:rPr>
      </w:r>
    </w:p>
    <w:p>
      <w:pPr>
        <w:numPr>
          <w:numId w:val="17"/>
          <w:ilvl w:val="0"/>
        </w:numPr>
        <w:spacing w:before="120"/>
        <w:ind w:left="992" w:right="0" w:hanging="283"/>
        <w:contextualSpacing/>
        <w:jc w:val="both"/>
        <w:rPr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Месторождение Имени Б.Б. Михайлова (золото и серебро рудное, вольфрам, молибден, Кабардино-Балкарская Республика);</w:t>
      </w:r>
      <w:r>
        <w:rPr>
          <w:color w:val="auto"/>
          <w:highlight w:val="white"/>
        </w:rPr>
      </w:r>
    </w:p>
    <w:p>
      <w:pPr>
        <w:numPr>
          <w:numId w:val="17"/>
          <w:ilvl w:val="0"/>
        </w:numPr>
        <w:spacing w:before="120"/>
        <w:ind w:left="993" w:right="0" w:hanging="284"/>
        <w:contextualSpacing/>
        <w:jc w:val="both"/>
        <w:rPr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Месторождение </w:t>
      </w:r>
      <w:r>
        <w:rPr>
          <w:rFonts w:hint="cs" w:ascii="Times New Roman" w:hAnsi="Times New Roman" w:cs="Times New Roman"/>
          <w:color w:val="auto"/>
          <w:sz w:val="28"/>
          <w:szCs w:val="28"/>
          <w:highlight w:val="white"/>
        </w:rPr>
        <w:t xml:space="preserve">Северо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-</w:t>
      </w:r>
      <w:r>
        <w:rPr>
          <w:rFonts w:hint="cs" w:ascii="Times New Roman" w:hAnsi="Times New Roman" w:cs="Times New Roman"/>
          <w:color w:val="auto"/>
          <w:sz w:val="28"/>
          <w:szCs w:val="28"/>
          <w:highlight w:val="white"/>
        </w:rPr>
        <w:t xml:space="preserve">Урской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(золото, Кемеровская область – Кузбасс);</w:t>
      </w:r>
      <w:r>
        <w:rPr>
          <w:color w:val="auto"/>
          <w:highlight w:val="white"/>
        </w:rPr>
      </w:r>
    </w:p>
    <w:p>
      <w:pPr>
        <w:numPr>
          <w:numId w:val="17"/>
          <w:ilvl w:val="0"/>
        </w:numPr>
        <w:spacing w:before="120"/>
        <w:ind w:left="993" w:right="0" w:hanging="284"/>
        <w:contextualSpacing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Участок недр Магистральный-2 Егозово-Красноярского каменноугольного месторождения (уголь каменный, Кемеровская область-Кузбасс).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По итогам первого полугодия 202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года Роснедрами и его территориальными органами было предоставлено в пользование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1545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участк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ов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недр,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(в т.ч.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 порядке переоформления)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136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на УВС,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1122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– на ТПИ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 287 – подземные воды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</w:p>
    <w:p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Комиссиями центрального аппарата Роснедр и его территориальных органов по рассмотрению вопросом о досрочном прекращении, приостановлении или ограничении права пользования недрами были приняты решения:</w:t>
      </w:r>
      <w:r>
        <w:rPr>
          <w:color w:val="auto"/>
        </w:rPr>
      </w:r>
    </w:p>
    <w:p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- направить уведомления о нарушении условий пользования недрами по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375 лицензиям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(в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т.ч.: УВС – 15, ТПИ 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360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;</w:t>
      </w:r>
      <w:r>
        <w:rPr>
          <w:color w:val="auto"/>
        </w:rPr>
      </w:r>
    </w:p>
    <w:p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- принять к сведению информацию об устранении допущенных нарушений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условий пользования недрами по 381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лицензии (в т.ч.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УВС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30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 ТПИ -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351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);</w:t>
      </w:r>
      <w:r>
        <w:rPr>
          <w:color w:val="auto"/>
        </w:rPr>
      </w:r>
    </w:p>
    <w:p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- досрочно прекратить право пользования недрами по 306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лицензиям (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УВС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19, ТПИ -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287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);</w:t>
      </w:r>
      <w:r>
        <w:rPr>
          <w:color w:val="auto"/>
        </w:rPr>
      </w:r>
    </w:p>
    <w:p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приостановить либо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ограничить право пользования недрами по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33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лицензи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ям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(ТПИ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).</w:t>
      </w:r>
      <w:r>
        <w:rPr>
          <w:color w:val="auto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Доходы федерального бюджета от разовых платежей за пользование недрами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за отчетный период составил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14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млрд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руб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5174291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</w:p>
    </w:sdtContent>
  </w:sdt>
  <w:p>
    <w:pPr>
      <w:pStyle w:val="88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n"/>
      <w:lvlJc w:val="left"/>
      <w:pPr>
        <w:ind w:left="360" w:hanging="360"/>
      </w:pPr>
      <w:rPr>
        <w:rFonts w:hint="default" w:ascii="Wingdings" w:hAnsi="Wingdings"/>
        <w:color w:val="365f91" w:themeColor="accent1" w:themeShade="BF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  <w:num w:numId="13">
    <w:abstractNumId w:val="3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873"/>
    <w:link w:val="872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1"/>
    <w:next w:val="871"/>
    <w:link w:val="70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3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1"/>
    <w:next w:val="871"/>
    <w:link w:val="70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3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1"/>
    <w:next w:val="871"/>
    <w:link w:val="70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3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1"/>
    <w:next w:val="871"/>
    <w:link w:val="70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3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1"/>
    <w:next w:val="871"/>
    <w:link w:val="70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3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1"/>
    <w:next w:val="871"/>
    <w:link w:val="71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1"/>
    <w:next w:val="871"/>
    <w:link w:val="71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3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1"/>
    <w:next w:val="871"/>
    <w:link w:val="71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3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3"/>
    <w:uiPriority w:val="99"/>
  </w:style>
  <w:style w:type="character" w:styleId="726">
    <w:name w:val="Footer Char"/>
    <w:basedOn w:val="873"/>
    <w:link w:val="88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5"/>
    <w:uiPriority w:val="99"/>
  </w:style>
  <w:style w:type="table" w:styleId="729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3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3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spacing w:after="57"/>
      <w:ind w:left="0" w:right="0" w:firstLine="0"/>
    </w:pPr>
  </w:style>
  <w:style w:type="paragraph" w:styleId="861">
    <w:name w:val="toc 2"/>
    <w:basedOn w:val="871"/>
    <w:next w:val="871"/>
    <w:uiPriority w:val="39"/>
    <w:unhideWhenUsed/>
    <w:pPr>
      <w:spacing w:after="57"/>
      <w:ind w:left="283" w:right="0" w:firstLine="0"/>
    </w:pPr>
  </w:style>
  <w:style w:type="paragraph" w:styleId="862">
    <w:name w:val="toc 3"/>
    <w:basedOn w:val="871"/>
    <w:next w:val="871"/>
    <w:uiPriority w:val="39"/>
    <w:unhideWhenUsed/>
    <w:pPr>
      <w:spacing w:after="57"/>
      <w:ind w:left="567" w:right="0" w:firstLine="0"/>
    </w:pPr>
  </w:style>
  <w:style w:type="paragraph" w:styleId="863">
    <w:name w:val="toc 4"/>
    <w:basedOn w:val="871"/>
    <w:next w:val="871"/>
    <w:uiPriority w:val="39"/>
    <w:unhideWhenUsed/>
    <w:pPr>
      <w:spacing w:after="57"/>
      <w:ind w:left="850" w:right="0" w:firstLine="0"/>
    </w:pPr>
  </w:style>
  <w:style w:type="paragraph" w:styleId="864">
    <w:name w:val="toc 5"/>
    <w:basedOn w:val="871"/>
    <w:next w:val="871"/>
    <w:uiPriority w:val="39"/>
    <w:unhideWhenUsed/>
    <w:pPr>
      <w:spacing w:after="57"/>
      <w:ind w:left="1134" w:right="0" w:firstLine="0"/>
    </w:pPr>
  </w:style>
  <w:style w:type="paragraph" w:styleId="865">
    <w:name w:val="toc 6"/>
    <w:basedOn w:val="871"/>
    <w:next w:val="871"/>
    <w:uiPriority w:val="39"/>
    <w:unhideWhenUsed/>
    <w:pPr>
      <w:spacing w:after="57"/>
      <w:ind w:left="1417" w:right="0" w:firstLine="0"/>
    </w:pPr>
  </w:style>
  <w:style w:type="paragraph" w:styleId="866">
    <w:name w:val="toc 7"/>
    <w:basedOn w:val="871"/>
    <w:next w:val="871"/>
    <w:uiPriority w:val="39"/>
    <w:unhideWhenUsed/>
    <w:pPr>
      <w:spacing w:after="57"/>
      <w:ind w:left="1701" w:right="0" w:firstLine="0"/>
    </w:pPr>
  </w:style>
  <w:style w:type="paragraph" w:styleId="867">
    <w:name w:val="toc 8"/>
    <w:basedOn w:val="871"/>
    <w:next w:val="871"/>
    <w:uiPriority w:val="39"/>
    <w:unhideWhenUsed/>
    <w:pPr>
      <w:spacing w:after="57"/>
      <w:ind w:left="1984" w:right="0" w:firstLine="0"/>
    </w:pPr>
  </w:style>
  <w:style w:type="paragraph" w:styleId="868">
    <w:name w:val="toc 9"/>
    <w:basedOn w:val="871"/>
    <w:next w:val="871"/>
    <w:uiPriority w:val="39"/>
    <w:unhideWhenUsed/>
    <w:pPr>
      <w:spacing w:after="57"/>
      <w:ind w:left="2268" w:right="0" w:firstLine="0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paragraph" w:styleId="872">
    <w:name w:val="Heading 1"/>
    <w:basedOn w:val="871"/>
    <w:next w:val="871"/>
    <w:link w:val="879"/>
    <w:uiPriority w:val="9"/>
    <w:qFormat/>
    <w:pPr>
      <w:keepNext/>
      <w:keepLines/>
      <w:spacing w:before="240" w:after="0"/>
      <w:outlineLvl w:val="0"/>
    </w:pPr>
    <w:rPr>
      <w:rFonts w:eastAsia="Times New Roman" w:asciiTheme="majorHAnsi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List Paragraph"/>
    <w:basedOn w:val="871"/>
    <w:uiPriority w:val="99"/>
    <w:qFormat/>
    <w:pPr>
      <w:spacing w:before="120" w:after="16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877">
    <w:name w:val="Balloon Text"/>
    <w:basedOn w:val="871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73"/>
    <w:link w:val="877"/>
    <w:uiPriority w:val="99"/>
    <w:semiHidden/>
    <w:rPr>
      <w:rFonts w:ascii="Tahoma" w:hAnsi="Tahoma" w:cs="Tahoma"/>
      <w:sz w:val="16"/>
      <w:szCs w:val="16"/>
    </w:rPr>
  </w:style>
  <w:style w:type="character" w:styleId="879" w:customStyle="1">
    <w:name w:val="Заголовок 1 Знак"/>
    <w:basedOn w:val="873"/>
    <w:link w:val="872"/>
    <w:uiPriority w:val="9"/>
    <w:rPr>
      <w:rFonts w:eastAsia="Times New Roman" w:asciiTheme="majorHAnsi" w:hAnsiTheme="majorHAnsi" w:cstheme="majorBidi"/>
      <w:caps/>
      <w:color w:val="365f91" w:themeColor="accent1" w:themeShade="BF"/>
      <w:sz w:val="28"/>
      <w:szCs w:val="28"/>
      <w:lang w:eastAsia="ru-RU"/>
    </w:rPr>
  </w:style>
  <w:style w:type="character" w:styleId="880">
    <w:name w:val="Hyperlink"/>
    <w:basedOn w:val="873"/>
    <w:uiPriority w:val="99"/>
    <w:semiHidden/>
    <w:unhideWhenUsed/>
    <w:rPr>
      <w:strike w:val="0"/>
      <w:color w:val="666699"/>
      <w:u w:val="none"/>
    </w:rPr>
  </w:style>
  <w:style w:type="paragraph" w:styleId="881">
    <w:name w:val="Body Text Indent"/>
    <w:basedOn w:val="871"/>
    <w:link w:val="882"/>
    <w:uiPriority w:val="99"/>
    <w:unhideWhenUsed/>
    <w:pPr>
      <w:spacing w:after="120"/>
      <w:ind w:left="283"/>
    </w:pPr>
  </w:style>
  <w:style w:type="character" w:styleId="882" w:customStyle="1">
    <w:name w:val="Основной текст с отступом Знак"/>
    <w:basedOn w:val="873"/>
    <w:link w:val="881"/>
    <w:uiPriority w:val="99"/>
  </w:style>
  <w:style w:type="paragraph" w:styleId="883">
    <w:name w:val="Header"/>
    <w:basedOn w:val="871"/>
    <w:link w:val="88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84" w:customStyle="1">
    <w:name w:val="Верхний колонтитул Знак"/>
    <w:basedOn w:val="873"/>
    <w:link w:val="883"/>
    <w:uiPriority w:val="99"/>
  </w:style>
  <w:style w:type="paragraph" w:styleId="885">
    <w:name w:val="Footer"/>
    <w:basedOn w:val="871"/>
    <w:link w:val="88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86" w:customStyle="1">
    <w:name w:val="Нижний колонтитул Знак"/>
    <w:basedOn w:val="873"/>
    <w:link w:val="885"/>
    <w:uiPriority w:val="99"/>
  </w:style>
  <w:style w:type="table" w:styleId="887">
    <w:name w:val="Table Grid"/>
    <w:basedOn w:val="8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8">
    <w:name w:val="annotation reference"/>
    <w:basedOn w:val="873"/>
    <w:uiPriority w:val="99"/>
    <w:semiHidden/>
    <w:unhideWhenUsed/>
    <w:rPr>
      <w:sz w:val="16"/>
      <w:szCs w:val="16"/>
    </w:rPr>
  </w:style>
  <w:style w:type="paragraph" w:styleId="889">
    <w:name w:val="annotation text"/>
    <w:basedOn w:val="871"/>
    <w:link w:val="89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0" w:customStyle="1">
    <w:name w:val="Текст примечания Знак"/>
    <w:basedOn w:val="873"/>
    <w:link w:val="889"/>
    <w:uiPriority w:val="99"/>
    <w:semiHidden/>
    <w:rPr>
      <w:sz w:val="20"/>
      <w:szCs w:val="20"/>
    </w:rPr>
  </w:style>
  <w:style w:type="paragraph" w:styleId="891">
    <w:name w:val="annotation subject"/>
    <w:basedOn w:val="889"/>
    <w:next w:val="889"/>
    <w:link w:val="892"/>
    <w:uiPriority w:val="99"/>
    <w:semiHidden/>
    <w:unhideWhenUsed/>
    <w:rPr>
      <w:b/>
      <w:bCs/>
    </w:rPr>
  </w:style>
  <w:style w:type="character" w:styleId="892" w:customStyle="1">
    <w:name w:val="Тема примечания Знак"/>
    <w:basedOn w:val="890"/>
    <w:link w:val="891"/>
    <w:uiPriority w:val="99"/>
    <w:semiHidden/>
    <w:rPr>
      <w:b/>
      <w:bCs/>
      <w:sz w:val="20"/>
      <w:szCs w:val="20"/>
    </w:rPr>
  </w:style>
  <w:style w:type="paragraph" w:styleId="893" w:customStyle="1">
    <w:name w:val="!!!_____2010_Текст в 2 колонки"/>
    <w:basedOn w:val="871"/>
    <w:uiPriority w:val="99"/>
    <w:pPr>
      <w:spacing w:before="120" w:after="0" w:line="280" w:lineRule="atLeast"/>
      <w:ind w:firstLine="283"/>
      <w:jc w:val="both"/>
    </w:pPr>
    <w:rPr>
      <w:rFonts w:ascii="Times New Roman" w:hAnsi="Times New Roman" w:cs="Times New Roman"/>
      <w:color w:val="000000"/>
    </w:rPr>
  </w:style>
  <w:style w:type="character" w:styleId="894" w:customStyle="1">
    <w:name w:val="Body text (4)_"/>
    <w:basedOn w:val="873"/>
    <w:link w:val="895"/>
    <w:rPr>
      <w:rFonts w:ascii="Times New Roman" w:hAnsi="Times New Roman" w:eastAsia="Times New Roman" w:cs="Times New Roman"/>
      <w:b/>
      <w:bCs/>
      <w:i/>
      <w:iCs/>
      <w:sz w:val="26"/>
      <w:szCs w:val="26"/>
      <w:shd w:val="clear" w:color="auto" w:fill="ffffff"/>
    </w:rPr>
  </w:style>
  <w:style w:type="paragraph" w:styleId="895" w:customStyle="1">
    <w:name w:val="Body text (4)"/>
    <w:basedOn w:val="871"/>
    <w:link w:val="894"/>
    <w:pPr>
      <w:widowControl w:val="off"/>
      <w:shd w:val="clear" w:color="auto" w:fill="ffffff"/>
      <w:spacing w:before="180" w:after="60" w:line="320" w:lineRule="exact"/>
      <w:jc w:val="both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geomonitorin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B0F2-E219-472A-A8A4-36A91D0B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FGUP VSEGEI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Валуйскова Елена Васильевна</dc:creator>
  <cp:revision>13</cp:revision>
  <dcterms:created xsi:type="dcterms:W3CDTF">2021-08-09T14:16:00Z</dcterms:created>
  <dcterms:modified xsi:type="dcterms:W3CDTF">2023-07-14T07:38:55Z</dcterms:modified>
</cp:coreProperties>
</file>