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96"/>
        <w:tblW w:w="0" w:type="auto"/>
        <w:tblInd w:w="4819" w:type="dxa"/>
        <w:tblLayout w:type="fixed"/>
        <w:tblLook w:val="04A0" w:firstRow="1" w:lastRow="0" w:firstColumn="1" w:lastColumn="0" w:noHBand="0" w:noVBand="1"/>
      </w:tblPr>
      <w:tblGrid>
        <w:gridCol w:w="538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/>
                <w:sz w:val="28"/>
                <w:szCs w:val="28"/>
              </w:rPr>
            </w:pPr>
            <w:r>
              <w:rPr>
                <w:rFonts w:ascii="PT Astra Serif" w:hAnsi="PT Astra Serif" w:cs="PT Astra Serif"/>
                <w:i/>
                <w:sz w:val="28"/>
                <w:szCs w:val="28"/>
              </w:rPr>
              <w:t xml:space="preserve">Дата проведения: 20 декабря 2024 года</w:t>
            </w:r>
            <w:r>
              <w:rPr>
                <w:rFonts w:ascii="PT Astra Serif" w:hAnsi="PT Astra Serif" w:cs="PT Astra Serif"/>
                <w:i/>
                <w:sz w:val="28"/>
                <w:szCs w:val="28"/>
              </w:rPr>
            </w:r>
            <w:r>
              <w:rPr>
                <w:rFonts w:ascii="PT Astra Serif" w:hAnsi="PT Astra Serif" w:cs="PT Astra Serif"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 w:cs="PT Astra Serif"/>
                <w:i/>
                <w:sz w:val="28"/>
                <w:szCs w:val="28"/>
              </w:rPr>
            </w:pPr>
            <w:r>
              <w:rPr>
                <w:rFonts w:ascii="PT Astra Serif" w:hAnsi="PT Astra Serif" w:cs="PT Astra Serif"/>
                <w:i/>
                <w:sz w:val="28"/>
                <w:szCs w:val="28"/>
              </w:rPr>
            </w:r>
            <w:r>
              <w:rPr>
                <w:rFonts w:ascii="PT Astra Serif" w:hAnsi="PT Astra Serif" w:cs="PT Astra Serif"/>
                <w:i/>
                <w:sz w:val="28"/>
                <w:szCs w:val="28"/>
              </w:rPr>
            </w:r>
            <w:r>
              <w:rPr>
                <w:rFonts w:ascii="PT Astra Serif" w:hAnsi="PT Astra Serif" w:cs="PT Astra Serif"/>
                <w:i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i/>
                <w:sz w:val="28"/>
                <w:szCs w:val="28"/>
              </w:rPr>
            </w:pPr>
            <w:r>
              <w:rPr>
                <w:rFonts w:ascii="PT Astra Serif" w:hAnsi="PT Astra Serif" w:cs="PT Astra Serif"/>
                <w:i/>
                <w:sz w:val="28"/>
                <w:szCs w:val="28"/>
              </w:rPr>
              <w:t xml:space="preserve">Место проведения: Государственный геологический музей им. В.И. Вернадского</w:t>
            </w:r>
            <w:r>
              <w:rPr>
                <w:rFonts w:ascii="PT Astra Serif" w:hAnsi="PT Astra Serif" w:cs="PT Astra Serif"/>
                <w:i/>
                <w:sz w:val="28"/>
                <w:szCs w:val="28"/>
              </w:rPr>
            </w:r>
            <w:r>
              <w:rPr>
                <w:rFonts w:ascii="PT Astra Serif" w:hAnsi="PT Astra Serif" w:cs="PT Astra Serif"/>
                <w:i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spacing w:after="0" w:line="240" w:lineRule="auto"/>
        <w:tabs>
          <w:tab w:val="left" w:pos="2558" w:leader="none"/>
        </w:tabs>
        <w:rPr>
          <w:highlight w:val="none"/>
        </w:rPr>
      </w:pPr>
      <w: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  <w:tabs>
          <w:tab w:val="left" w:pos="2558" w:leader="none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spacing w:after="0" w:line="240" w:lineRule="auto"/>
        <w:tabs>
          <w:tab w:val="left" w:pos="2558" w:leader="none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 Р О Т О К О Л 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i/>
          <w:sz w:val="28"/>
          <w:szCs w:val="28"/>
        </w:rPr>
      </w:pPr>
      <w:r>
        <w:rPr>
          <w:rFonts w:ascii="PT Astra Serif" w:hAnsi="PT Astra Serif" w:cs="PT Astra Serif"/>
          <w:b/>
          <w:i/>
          <w:sz w:val="28"/>
          <w:szCs w:val="28"/>
        </w:rPr>
        <w:t xml:space="preserve">Заседания Общественного совета при Федеральном агентстве по недропользованию</w:t>
      </w:r>
      <w:r>
        <w:rPr>
          <w:rFonts w:ascii="PT Astra Serif" w:hAnsi="PT Astra Serif" w:cs="PT Astra Serif"/>
          <w:b/>
          <w:i/>
          <w:sz w:val="28"/>
          <w:szCs w:val="28"/>
        </w:rPr>
      </w:r>
      <w:r>
        <w:rPr>
          <w:rFonts w:ascii="PT Astra Serif" w:hAnsi="PT Astra Serif" w:cs="PT Astra Serif"/>
          <w:b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i/>
          <w:sz w:val="28"/>
          <w:szCs w:val="28"/>
        </w:rPr>
      </w:pPr>
      <w:r>
        <w:rPr>
          <w:rFonts w:ascii="PT Astra Serif" w:hAnsi="PT Astra Serif" w:cs="PT Astra Serif"/>
          <w:b/>
          <w:i/>
          <w:sz w:val="28"/>
          <w:szCs w:val="28"/>
        </w:rPr>
      </w:r>
      <w:r>
        <w:rPr>
          <w:rFonts w:ascii="PT Astra Serif" w:hAnsi="PT Astra Serif" w:cs="PT Astra Serif"/>
          <w:b/>
          <w:i/>
          <w:sz w:val="28"/>
          <w:szCs w:val="28"/>
        </w:rPr>
      </w:r>
      <w:r>
        <w:rPr>
          <w:rFonts w:ascii="PT Astra Serif" w:hAnsi="PT Astra Serif" w:cs="PT Astra Serif"/>
          <w:b/>
          <w:i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Присутствовали от </w:t>
      </w:r>
      <w:r>
        <w:rPr>
          <w:rFonts w:ascii="PT Astra Serif" w:hAnsi="PT Astra Serif" w:cs="PT Astra Serif"/>
          <w:b/>
          <w:sz w:val="28"/>
          <w:szCs w:val="28"/>
        </w:rPr>
        <w:t xml:space="preserve">Роснедр</w:t>
      </w:r>
      <w:r>
        <w:rPr>
          <w:rFonts w:ascii="PT Astra Serif" w:hAnsi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44"/>
      </w:tblGrid>
      <w:tr>
        <w:tblPrEx/>
        <w:trPr>
          <w:trHeight w:val="2563"/>
        </w:trPr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Председатель Общественного совета при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Роснедрах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Заместитель Председателя Общественного совета при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Роснедрах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Руководитель Федерального агентства по недропользованию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Заместитель руководителя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Роснедр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– ответственный секретарь Общественного совета при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Роснедрах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84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М.Ю.Токарев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Д.Д.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Агапитов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О.В. Казанов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Д.Н. Данилин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Члены Общественного совета при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Роснедрах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: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584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Грызунова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Н.В. (ВКС); М.В.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Довгялло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(ВКС);  М.М. Дронова (ВКС); С.Б.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Исайченков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(ВКС); В.Ю. Керимов; А.А. Коваленко; С.В.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Микушев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; П.С. Морозов (ВКС); В.Г. Нестеренко; А.В. Пинчук (ВКС); В.Н. Подопригора (ВКС); В.В.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Половков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; Н.Р. Сорокина; Е.В. Спиридонова; Л.И. Твердохлебов; А.В.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Федаш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; С.В. Черкасов; А.И.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Шеметов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(ВКС).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i/>
                <w:sz w:val="28"/>
                <w:szCs w:val="28"/>
              </w:rPr>
              <w:t xml:space="preserve">Кворум для рассмотрения вопросов повестки дня имеется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Приглашенные: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584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Д. Д. Жуков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Роснедра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); И.Г. Спиридонов (ФГБУ «ИМГРЭ»); Т.И. Спиридонова (Фонд «Юный геолог»); Ю.П. Панов (МГРИ); Н.Н.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Еремин, К.А. Ситар (МГУ им. М.В. Ломоносова); О.В. Постникова (РГУ нефти и газа (НИУ) им. И.М. Губкина); К.В. Чистяков (СПбГУ).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Повестка дня: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contextualSpacing/>
        <w:ind w:firstLine="685"/>
        <w:jc w:val="both"/>
        <w:spacing w:after="0" w:line="216" w:lineRule="auto"/>
        <w:rPr>
          <w:bCs/>
          <w:i/>
        </w:rPr>
        <w:pBdr>
          <w:bottom w:val="none" w:color="000000" w:sz="8" w:space="0"/>
        </w:pBdr>
      </w:pPr>
      <w:r>
        <w:rPr>
          <w:rStyle w:val="908"/>
          <w:rFonts w:ascii="PT Astra Serif" w:hAnsi="PT Astra Serif" w:eastAsia="PT Astra Serif" w:cs="PT Astra Serif"/>
          <w:b w:val="0"/>
          <w:color w:val="000000"/>
          <w:sz w:val="28"/>
          <w:szCs w:val="28"/>
        </w:rPr>
        <w:t xml:space="preserve">1. О практике и эффективности осуществления </w:t>
      </w:r>
      <w:r>
        <w:rPr>
          <w:rStyle w:val="908"/>
          <w:rFonts w:ascii="PT Astra Serif" w:hAnsi="PT Astra Serif" w:eastAsia="PT Astra Serif" w:cs="PT Astra Serif"/>
          <w:b w:val="0"/>
          <w:color w:val="000000"/>
          <w:sz w:val="28"/>
          <w:szCs w:val="28"/>
        </w:rPr>
        <w:t xml:space="preserve">Роснедрами</w:t>
      </w:r>
      <w:r>
        <w:rPr>
          <w:rStyle w:val="908"/>
          <w:rFonts w:ascii="PT Astra Serif" w:hAnsi="PT Astra Serif" w:eastAsia="PT Astra Serif" w:cs="PT Astra Serif"/>
          <w:b w:val="0"/>
          <w:color w:val="000000"/>
          <w:sz w:val="28"/>
          <w:szCs w:val="28"/>
        </w:rPr>
        <w:t xml:space="preserve"> государственных закупок </w:t>
      </w:r>
      <w:r>
        <w:rPr>
          <w:rStyle w:val="908"/>
          <w:rFonts w:ascii="PT Astra Serif" w:hAnsi="PT Astra Serif" w:eastAsia="PT Astra Serif" w:cs="PT Astra Serif"/>
          <w:b w:val="0"/>
          <w:i/>
          <w:iCs/>
          <w:color w:val="000000"/>
          <w:sz w:val="28"/>
          <w:szCs w:val="28"/>
        </w:rPr>
        <w:t xml:space="preserve">(докладчик – начальник Управления финансово-экономического обеспечения </w:t>
      </w:r>
      <w:r>
        <w:rPr>
          <w:rStyle w:val="908"/>
          <w:rFonts w:ascii="PT Astra Serif" w:hAnsi="PT Astra Serif" w:eastAsia="PT Astra Serif" w:cs="PT Astra Serif"/>
          <w:b w:val="0"/>
          <w:i/>
          <w:iCs/>
          <w:color w:val="000000"/>
          <w:sz w:val="28"/>
          <w:szCs w:val="28"/>
        </w:rPr>
        <w:t xml:space="preserve">Роснедр</w:t>
      </w:r>
      <w:r>
        <w:rPr>
          <w:rStyle w:val="908"/>
          <w:rFonts w:ascii="PT Astra Serif" w:hAnsi="PT Astra Serif" w:eastAsia="PT Astra Serif" w:cs="PT Astra Serif"/>
          <w:b w:val="0"/>
          <w:i/>
          <w:iCs/>
          <w:color w:val="000000"/>
          <w:sz w:val="28"/>
          <w:szCs w:val="28"/>
        </w:rPr>
        <w:t xml:space="preserve"> Д.Д. Жуков)</w:t>
      </w:r>
      <w:r>
        <w:rPr>
          <w:rFonts w:ascii="PT Astra Serif" w:hAnsi="PT Astra Serif" w:cs="PT Astra Serif"/>
          <w:i/>
          <w:iCs/>
          <w:sz w:val="28"/>
          <w:szCs w:val="28"/>
        </w:rPr>
        <w:t xml:space="preserve">.</w:t>
      </w:r>
      <w:r>
        <w:rPr>
          <w:bCs/>
          <w:i/>
        </w:rPr>
      </w:r>
      <w:r>
        <w:rPr>
          <w:bCs/>
          <w:i/>
        </w:rPr>
      </w:r>
    </w:p>
    <w:p>
      <w:pPr>
        <w:pStyle w:val="907"/>
        <w:ind w:firstLine="425"/>
        <w:jc w:val="both"/>
        <w:spacing w:after="0" w:line="216" w:lineRule="auto"/>
        <w:rPr>
          <w:rFonts w:ascii="PT Astra Serif" w:hAnsi="PT Astra Serif" w:cs="PT Astra Serif"/>
          <w:bCs/>
          <w:spacing w:val="2"/>
          <w:sz w:val="28"/>
          <w:szCs w:val="28"/>
        </w:rPr>
      </w:pPr>
      <w:r>
        <w:rPr>
          <w:rFonts w:ascii="PT Astra Serif" w:hAnsi="PT Astra Serif" w:eastAsia="Batang" w:cs="PT Astra Serif"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Cs/>
          <w:spacing w:val="2"/>
          <w:sz w:val="28"/>
          <w:szCs w:val="28"/>
          <w:lang w:eastAsia="ru-RU"/>
        </w:rPr>
        <w:t xml:space="preserve">2</w:t>
      </w:r>
      <w:r>
        <w:rPr>
          <w:rFonts w:ascii="PT Astra Serif" w:hAnsi="PT Astra Serif" w:eastAsia="Times New Roman" w:cs="PT Astra Serif"/>
          <w:b/>
          <w:bCs/>
          <w:spacing w:val="2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PT Astra Serif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ходе и эффективности исполнения плана противодействия коррупции Федерального агентства по недропользованию на 2024 год 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(докладчик – заместитель Руководителя 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Роснедр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 Д.Н. Данилин)</w:t>
      </w:r>
      <w:r>
        <w:rPr>
          <w:rFonts w:ascii="PT Astra Serif" w:hAnsi="PT Astra Serif" w:eastAsia="Times New Roman" w:cs="PT Astra Serif"/>
          <w:bCs/>
          <w:spacing w:val="2"/>
          <w:sz w:val="28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bCs/>
          <w:spacing w:val="2"/>
          <w:sz w:val="28"/>
          <w:szCs w:val="28"/>
        </w:rPr>
      </w:r>
      <w:r>
        <w:rPr>
          <w:rFonts w:ascii="PT Astra Serif" w:hAnsi="PT Astra Serif" w:cs="PT Astra Serif"/>
          <w:bCs/>
          <w:spacing w:val="2"/>
          <w:sz w:val="28"/>
          <w:szCs w:val="28"/>
        </w:rPr>
      </w:r>
    </w:p>
    <w:p>
      <w:pPr>
        <w:pStyle w:val="897"/>
        <w:jc w:val="both"/>
        <w:spacing w:line="21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bCs/>
          <w:sz w:val="28"/>
          <w:szCs w:val="28"/>
        </w:rPr>
        <w:t xml:space="preserve">3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.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Актуальные проблемы и пути развития высшего, среднего и дополнительного профессионального отраслевого образования (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докладчик – Председатель Общественного совета при 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Роснедрах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 М.Ю. Токарев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</w:t>
      </w:r>
      <w:r>
        <w:rPr>
          <w:rFonts w:ascii="PT Astra Serif" w:hAnsi="PT Astra Serif" w:cs="PT Astra Serif"/>
          <w:bCs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1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</w:rPr>
        <w:tab/>
        <w:t xml:space="preserve">4.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Задачи популяризации геологии 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довузовского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профессионального образования и взаимодействия с общественными организациями (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докладчик – член Общественного совета при 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Роснедрах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 С.В. Черкасов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16" w:lineRule="auto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cs="PT Astra Serif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 xml:space="preserve">5. Разное.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jc w:val="both"/>
        <w:spacing w:after="0" w:line="21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6"/>
        <w:ind w:left="0"/>
        <w:jc w:val="center"/>
        <w:spacing w:after="0" w:line="216" w:lineRule="auto"/>
        <w:rPr>
          <w:rFonts w:ascii="PT Astra Serif" w:hAnsi="PT Astra Serif" w:eastAsia="Calibri" w:cs="PT Astra Serif"/>
          <w:b/>
          <w:bCs/>
          <w:sz w:val="28"/>
          <w:szCs w:val="28"/>
        </w:rPr>
        <w:pBdr>
          <w:bottom w:val="none" w:color="000000" w:sz="8" w:space="0"/>
        </w:pBdr>
      </w:pPr>
      <w:r>
        <w:rPr>
          <w:rFonts w:ascii="PT Astra Serif" w:hAnsi="PT Astra Serif" w:eastAsia="Calibri" w:cs="PT Astra Serif"/>
          <w:b/>
          <w:bCs/>
          <w:sz w:val="28"/>
          <w:szCs w:val="28"/>
        </w:rPr>
        <w:t xml:space="preserve">1. </w:t>
      </w:r>
      <w:r>
        <w:rPr>
          <w:rStyle w:val="908"/>
          <w:rFonts w:ascii="PT Astra Serif" w:hAnsi="PT Astra Serif" w:eastAsia="PT Astra Serif" w:cs="PT Astra Serif"/>
          <w:color w:val="000000"/>
          <w:sz w:val="28"/>
          <w:szCs w:val="28"/>
        </w:rPr>
        <w:t xml:space="preserve">О практике и эффективности осуществления </w:t>
      </w:r>
      <w:r>
        <w:rPr>
          <w:rStyle w:val="908"/>
          <w:rFonts w:ascii="PT Astra Serif" w:hAnsi="PT Astra Serif" w:eastAsia="PT Astra Serif" w:cs="PT Astra Serif"/>
          <w:color w:val="000000"/>
          <w:sz w:val="28"/>
          <w:szCs w:val="28"/>
        </w:rPr>
        <w:t xml:space="preserve">Роснедрами</w:t>
      </w:r>
      <w:r>
        <w:rPr>
          <w:rStyle w:val="908"/>
          <w:rFonts w:ascii="PT Astra Serif" w:hAnsi="PT Astra Serif" w:eastAsia="PT Astra Serif" w:cs="PT Astra Serif"/>
          <w:color w:val="000000"/>
          <w:sz w:val="28"/>
          <w:szCs w:val="28"/>
        </w:rPr>
        <w:t xml:space="preserve"> государственных закупок </w:t>
      </w:r>
      <w:r>
        <w:rPr>
          <w:rFonts w:ascii="PT Astra Serif" w:hAnsi="PT Astra Serif" w:eastAsia="Calibri" w:cs="PT Astra Serif"/>
          <w:b/>
          <w:bCs/>
          <w:sz w:val="28"/>
          <w:szCs w:val="28"/>
        </w:rPr>
      </w:r>
      <w:r>
        <w:rPr>
          <w:rFonts w:ascii="PT Astra Serif" w:hAnsi="PT Astra Serif" w:eastAsia="Calibri" w:cs="PT Astra Serif"/>
          <w:b/>
          <w:bCs/>
          <w:sz w:val="28"/>
          <w:szCs w:val="28"/>
        </w:rPr>
      </w:r>
    </w:p>
    <w:p>
      <w:pPr>
        <w:pStyle w:val="906"/>
        <w:ind w:left="0"/>
        <w:jc w:val="center"/>
        <w:spacing w:after="0" w:line="216" w:lineRule="auto"/>
        <w:pBdr>
          <w:bottom w:val="none" w:color="000000" w:sz="8" w:space="0"/>
        </w:pBdr>
      </w:pPr>
      <w:r>
        <w:t xml:space="preserve">_____________________________________________________________________________________________</w:t>
      </w:r>
      <w:r/>
    </w:p>
    <w:p>
      <w:pPr>
        <w:pStyle w:val="906"/>
        <w:ind w:left="0"/>
        <w:jc w:val="center"/>
        <w:spacing w:after="0" w:line="216" w:lineRule="auto"/>
        <w:rPr>
          <w:rFonts w:ascii="PT Astra Serif" w:hAnsi="PT Astra Serif" w:eastAsia="Calibri" w:cs="PT Astra Serif"/>
          <w:b/>
          <w:bCs/>
          <w:i/>
          <w:sz w:val="28"/>
          <w:szCs w:val="28"/>
        </w:rPr>
        <w:pBdr>
          <w:bottom w:val="none" w:color="000000" w:sz="8" w:space="0"/>
        </w:pBdr>
      </w:pPr>
      <w:r>
        <w:rPr>
          <w:rFonts w:ascii="PT Astra Serif" w:hAnsi="PT Astra Serif" w:eastAsia="Calibri" w:cs="PT Astra Serif"/>
          <w:b/>
          <w:bCs/>
          <w:i/>
          <w:sz w:val="28"/>
          <w:szCs w:val="28"/>
        </w:rPr>
      </w:r>
      <w:r>
        <w:rPr>
          <w:rFonts w:ascii="PT Astra Serif" w:hAnsi="PT Astra Serif" w:eastAsia="Calibri" w:cs="PT Astra Serif"/>
          <w:b/>
          <w:bCs/>
          <w:i/>
          <w:sz w:val="28"/>
          <w:szCs w:val="28"/>
        </w:rPr>
      </w:r>
      <w:r>
        <w:rPr>
          <w:rFonts w:ascii="PT Astra Serif" w:hAnsi="PT Astra Serif" w:eastAsia="Calibri" w:cs="PT Astra Serif"/>
          <w:b/>
          <w:bCs/>
          <w:i/>
          <w:sz w:val="28"/>
          <w:szCs w:val="28"/>
        </w:rPr>
      </w:r>
    </w:p>
    <w:p>
      <w:pPr>
        <w:ind w:firstLine="567"/>
        <w:jc w:val="both"/>
        <w:spacing w:after="0" w:line="216" w:lineRule="auto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ab/>
        <w:t xml:space="preserve">Заслушали доклад начальника Управления финансово-экономического обеспечения 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Роснедр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Д.Д. Жукова об объеме осуществленных 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Роснедрами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в 2024 году закупок товаров, работ, услуг для государственных нужд.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По итогам обсуждения </w:t>
      </w:r>
      <w:r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  <w:t xml:space="preserve">ГОЛОСОВАЛИ за принятие по данному вопросу следующего РЕШЕНИЯ:</w:t>
      </w:r>
      <w:r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Принять к сведению доклад об осуществленных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Роснедрами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 в 2024 году закупках товаров, работ, услуг для обеспечения государственных нужд в рамках установленных полномочий.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i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i/>
          <w:sz w:val="28"/>
          <w:szCs w:val="28"/>
          <w:shd w:val="clear" w:color="auto" w:fill="ffffff"/>
        </w:rPr>
        <w:t xml:space="preserve">«ЗА» - 20</w:t>
      </w:r>
      <w:r>
        <w:rPr>
          <w:rFonts w:ascii="PT Astra Serif" w:hAnsi="PT Astra Serif" w:cs="PT Astra Serif"/>
          <w:i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i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i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i/>
          <w:sz w:val="28"/>
          <w:szCs w:val="28"/>
          <w:shd w:val="clear" w:color="auto" w:fill="ffffff"/>
        </w:rPr>
        <w:t xml:space="preserve">«ПРОТИВ» - 0</w:t>
      </w:r>
      <w:r>
        <w:rPr>
          <w:rFonts w:ascii="PT Astra Serif" w:hAnsi="PT Astra Serif" w:cs="PT Astra Serif"/>
          <w:i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i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i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i/>
          <w:sz w:val="28"/>
          <w:szCs w:val="28"/>
          <w:shd w:val="clear" w:color="auto" w:fill="ffffff"/>
        </w:rPr>
        <w:t xml:space="preserve">«ВОЗДЕРЖАЛИСЬ» - 0</w:t>
      </w:r>
      <w:r>
        <w:rPr>
          <w:rFonts w:ascii="PT Astra Serif" w:hAnsi="PT Astra Serif" w:cs="PT Astra Serif"/>
          <w:i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i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tabs>
          <w:tab w:val="left" w:pos="2475" w:leader="none"/>
        </w:tabs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</w:p>
    <w:p>
      <w:pPr>
        <w:ind w:firstLine="567"/>
        <w:jc w:val="center"/>
        <w:spacing w:after="0" w:line="240" w:lineRule="auto"/>
        <w:rPr>
          <w:b/>
          <w:bCs/>
        </w:rPr>
        <w:pBdr>
          <w:bottom w:val="none" w:color="000000" w:sz="8" w:space="0"/>
        </w:pBdr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2.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 ходе и эффективности исполнения плана противодействия коррупции Федерального агентства по недропользованию на 2024 год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after="0" w:line="12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________________________________________________________________________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Cambria" w:cs="PT Astra Serif"/>
          <w:sz w:val="28"/>
          <w:szCs w:val="28"/>
        </w:rPr>
        <w:t xml:space="preserve">Заслушали выступление</w:t>
      </w:r>
      <w:r>
        <w:rPr>
          <w:rFonts w:ascii="PT Astra Serif" w:hAnsi="PT Astra Serif" w:cs="PT Astra Serif"/>
          <w:sz w:val="28"/>
          <w:szCs w:val="28"/>
        </w:rPr>
        <w:t xml:space="preserve"> заместителя Руководителя Федерального</w:t>
      </w:r>
      <w:r>
        <w:rPr>
          <w:rFonts w:ascii="PT Astra Serif" w:hAnsi="PT Astra Serif" w:cs="PT Astra Serif"/>
          <w:sz w:val="28"/>
          <w:szCs w:val="28"/>
        </w:rPr>
        <w:t xml:space="preserve"> агентства по недропользованию Д.Н. Данилина о мероприятиях Федерального агентства по недропользованию, проведенных в рамках реализации Национального плана противодействия коррупции, утвержденного Указом Президента Российской Федерации от 16.08.2021 № 478.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  <w:pBdr>
          <w:bottom w:val="none" w:color="000000" w:sz="4" w:space="0"/>
        </w:pBdr>
      </w:pP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По итогам обсуждения </w:t>
      </w:r>
      <w:r>
        <w:rPr>
          <w:rFonts w:ascii="PT Astra Serif" w:hAnsi="PT Astra Serif" w:eastAsia="Times New Roman" w:cs="PT Astra Serif"/>
          <w:b/>
          <w:bCs/>
          <w:i/>
          <w:sz w:val="28"/>
          <w:szCs w:val="28"/>
          <w:lang w:eastAsia="ru-RU"/>
        </w:rPr>
        <w:t xml:space="preserve">ГОЛОСОВАЛИ </w:t>
      </w:r>
      <w:r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  <w:t xml:space="preserve">за принятие по данному вопросу следующего РЕШЕНИЯ:</w:t>
      </w:r>
      <w:r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shd w:val="clear" w:color="auto" w:fill="ffffff"/>
        </w:rPr>
        <w:pBdr>
          <w:bottom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1. Принять к сведению доклад </w:t>
      </w:r>
      <w:r>
        <w:rPr>
          <w:rFonts w:ascii="PT Astra Serif" w:hAnsi="PT Astra Serif" w:cs="PT Astra Serif"/>
          <w:sz w:val="28"/>
          <w:szCs w:val="28"/>
        </w:rPr>
        <w:t xml:space="preserve">об исполнении в 2024 году мероприятий Федерального агентства по недропользованию, проведенных в рамках реализации Национального плана противодействия коррупции, утвержденного Указом Президента Российской Федерации от 16.08.2021 № 478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i/>
          <w:sz w:val="28"/>
          <w:szCs w:val="28"/>
        </w:rPr>
        <w:pBdr>
          <w:bottom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/>
          <w:i/>
          <w:sz w:val="28"/>
          <w:szCs w:val="28"/>
        </w:rPr>
        <w:t xml:space="preserve">«ЗА» - 20</w:t>
      </w:r>
      <w:r>
        <w:rPr>
          <w:rFonts w:ascii="PT Astra Serif" w:hAnsi="PT Astra Serif" w:cs="PT Astra Serif"/>
          <w:i/>
          <w:sz w:val="28"/>
          <w:szCs w:val="28"/>
        </w:rPr>
      </w:r>
      <w:r>
        <w:rPr>
          <w:rFonts w:ascii="PT Astra Serif" w:hAnsi="PT Astra Serif" w:cs="PT Astra Serif"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i/>
          <w:sz w:val="28"/>
          <w:szCs w:val="28"/>
        </w:rPr>
        <w:pBdr>
          <w:bottom w:val="none" w:color="000000" w:sz="4" w:space="0"/>
        </w:pBdr>
      </w:pPr>
      <w:r>
        <w:rPr>
          <w:rFonts w:ascii="PT Astra Serif" w:hAnsi="PT Astra Serif" w:cs="PT Astra Serif"/>
          <w:i/>
          <w:sz w:val="28"/>
          <w:szCs w:val="28"/>
        </w:rPr>
        <w:t xml:space="preserve">«ПРОТИВ» - 0</w:t>
      </w:r>
      <w:r>
        <w:rPr>
          <w:rFonts w:ascii="PT Astra Serif" w:hAnsi="PT Astra Serif" w:cs="PT Astra Serif"/>
          <w:i/>
          <w:sz w:val="28"/>
          <w:szCs w:val="28"/>
        </w:rPr>
      </w:r>
      <w:r>
        <w:rPr>
          <w:rFonts w:ascii="PT Astra Serif" w:hAnsi="PT Astra Serif" w:cs="PT Astra Serif"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</w:rPr>
        <w:pBdr>
          <w:bottom w:val="none" w:color="000000" w:sz="4" w:space="0"/>
        </w:pBdr>
      </w:pPr>
      <w:r>
        <w:rPr>
          <w:rFonts w:ascii="PT Astra Serif" w:hAnsi="PT Astra Serif" w:cs="PT Astra Serif"/>
          <w:i/>
          <w:sz w:val="28"/>
          <w:szCs w:val="28"/>
        </w:rPr>
        <w:t xml:space="preserve">«ВОЗДЕРЖАЛИСЬ» 0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b/>
          <w:bCs/>
        </w:rPr>
        <w:pBdr>
          <w:bottom w:val="none" w:color="000000" w:sz="12" w:space="0"/>
        </w:pBdr>
      </w:pPr>
      <w:r>
        <w:rPr>
          <w:rFonts w:ascii="PT Astra Serif" w:hAnsi="PT Astra Serif" w:cs="PT Astra Serif"/>
          <w:b/>
          <w:bCs/>
        </w:rPr>
      </w:r>
      <w:r>
        <w:rPr>
          <w:rFonts w:ascii="PT Astra Serif" w:hAnsi="PT Astra Serif" w:cs="PT Astra Serif"/>
          <w:b/>
          <w:bCs/>
        </w:rPr>
      </w:r>
      <w:r>
        <w:rPr>
          <w:rFonts w:ascii="PT Astra Serif" w:hAnsi="PT Astra Serif" w:cs="PT Astra Serif"/>
          <w:b/>
          <w:bCs/>
        </w:rPr>
      </w:r>
    </w:p>
    <w:p>
      <w:pPr>
        <w:ind w:firstLine="567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</w:rPr>
        <w:pBdr>
          <w:bottom w:val="none" w:color="000000" w:sz="12" w:space="0"/>
        </w:pBd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Актуальные проблемы и пути развития высшего, среднего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  <w:pBdr>
          <w:bottom w:val="none" w:color="000000" w:sz="12" w:space="0"/>
        </w:pBd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и дополнительного профессионального отраслевого образования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spacing w:after="0" w:line="120" w:lineRule="auto"/>
        <w:rPr>
          <w:rFonts w:ascii="PT Astra Serif" w:hAnsi="PT Astra Serif" w:cs="PT Astra Serif"/>
          <w:b/>
          <w:bCs/>
          <w:sz w:val="28"/>
          <w:szCs w:val="28"/>
        </w:rPr>
        <w:pBdr>
          <w:bottom w:val="none" w:color="000000" w:sz="12" w:space="0"/>
        </w:pBdr>
      </w:pPr>
      <w:r>
        <w:t xml:space="preserve">_____________________________________________________________________________________________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ab/>
        <w:t xml:space="preserve">Заслушали выступление Председателя Общественного совета при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Роснедрах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 М.Ю. Токарева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о текущих кадровых потребностях горно-геологической отрасли и задачах подготовки молодых специалистов.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ab/>
        <w:t xml:space="preserve">Заслушали выступление Ректора Российского государственного геологоразведочного университета им. Серго Орджоникидзе (МГРИ) Ю.П. Панова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 о необходимости создания единой системы управления кадровым потенциалом геологической отрасли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Заслушали выступление декана факультета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ГиГНиГ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 РГУ нефти и газа О.В. Постниковой о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профориентационной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 работе с предложением о создании координационного совета между Федеральным агентством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по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недропользованию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 (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Роснедра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), РГУ нефти и газа (НИУ)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имени И.М. Губкина и предприятиями нефтегазового комплекса России по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профориентационной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 работе среди школьников для формирования целевого мотивированного контингента абитуриентов.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Заслушали выступление заместителя декана по дополнительному образованию Геологического факультета МГУ имени М.В. Ломоносова К.А.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Ситар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 о необходимости более активного привлечения студентов и аспирантов к научно-исследовательским работам.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ab/>
        <w:t xml:space="preserve">По итогам обсуждения </w:t>
      </w:r>
      <w:r>
        <w:rPr>
          <w:rFonts w:ascii="PT Astra Serif" w:hAnsi="PT Astra Serif" w:eastAsia="Times New Roman" w:cs="PT Astra Serif"/>
          <w:b/>
          <w:bCs/>
          <w:i/>
          <w:sz w:val="28"/>
          <w:szCs w:val="28"/>
          <w:lang w:eastAsia="ru-RU"/>
        </w:rPr>
        <w:t xml:space="preserve">ГОЛОСОВАЛИ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shd w:val="clear" w:color="auto" w:fill="ffffff"/>
        </w:rPr>
        <w:t xml:space="preserve">за принятие по данному вопросу следующего</w:t>
      </w:r>
      <w:r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  <w:t xml:space="preserve"> РЕШЕНИЯ:</w:t>
      </w:r>
      <w:r>
        <w:rPr>
          <w:rFonts w:ascii="PT Astra Serif" w:hAnsi="PT Astra Serif" w:cs="PT Astra Serif"/>
          <w:bCs/>
          <w:iCs/>
          <w:sz w:val="28"/>
          <w:szCs w:val="28"/>
          <w:shd w:val="clear" w:color="auto" w:fill="ffffff"/>
        </w:rPr>
        <w:t xml:space="preserve"> профильной Комиссии Общественного совета при Роснедрах </w:t>
      </w: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по подготовке кадров, отраслевому молодежному движению и популяризации геологии поручить в срок до октября 2025</w:t>
      </w:r>
      <w:r>
        <w:rPr>
          <w:rFonts w:ascii="PT Astra Serif" w:hAnsi="PT Astra Serif" w:cs="PT Astra Serif"/>
          <w:bCs/>
          <w:iCs/>
          <w:sz w:val="28"/>
          <w:szCs w:val="28"/>
          <w:shd w:val="clear" w:color="auto" w:fill="ffffff"/>
        </w:rPr>
        <w:t xml:space="preserve">: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bCs/>
          <w:iCs/>
          <w:sz w:val="28"/>
          <w:szCs w:val="28"/>
          <w:shd w:val="clear" w:color="auto" w:fill="ffffff"/>
        </w:rPr>
        <w:t xml:space="preserve">- проанализировать решения Общественного совета при Роснедрах предыдущих составов, принятые по данной проблематике;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iCs/>
          <w:sz w:val="28"/>
          <w:szCs w:val="28"/>
          <w:highlight w:val="none"/>
          <w:shd w:val="clear" w:color="auto" w:fill="ffffff"/>
        </w:rPr>
        <w:t xml:space="preserve">- сформировать список экспертов от отраслевых организаций и учебных заведений, необходимых для включения в состав Комиссии;</w:t>
      </w:r>
      <w:r>
        <w:rPr>
          <w:rFonts w:ascii="PT Astra Serif" w:hAnsi="PT Astra Serif" w:cs="PT Astra Serif"/>
          <w:bCs/>
          <w:iCs/>
          <w:sz w:val="28"/>
          <w:szCs w:val="28"/>
          <w:highlight w:val="none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iCs/>
          <w:sz w:val="28"/>
          <w:szCs w:val="28"/>
          <w:shd w:val="clear" w:color="auto" w:fill="ffffff"/>
        </w:rPr>
        <w:t xml:space="preserve">- провести</w:t>
      </w:r>
      <w:r>
        <w:rPr>
          <w:rFonts w:ascii="PT Astra Serif" w:hAnsi="PT Astra Serif" w:cs="PT Astra Serif"/>
          <w:bCs/>
          <w:iCs/>
          <w:sz w:val="28"/>
          <w:szCs w:val="28"/>
          <w:shd w:val="clear" w:color="auto" w:fill="ffffff"/>
        </w:rPr>
        <w:t xml:space="preserve"> мониторинг кадровых потребностей, дать оценку недостатка численности и сформировать соответствующий перечень отраслевых профессий, нехватка которых на сегодняшний день является острой проблемой для развития отрасли.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i/>
          <w:sz w:val="28"/>
          <w:szCs w:val="28"/>
        </w:rPr>
        <w:pBdr>
          <w:bottom w:val="none" w:color="000000" w:sz="4" w:space="0"/>
          <w:between w:val="none" w:color="000000" w:sz="4" w:space="0"/>
        </w:pBdr>
      </w:pP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ab/>
      </w:r>
      <w:r>
        <w:rPr>
          <w:rFonts w:ascii="PT Astra Serif" w:hAnsi="PT Astra Serif" w:cs="PT Astra Serif"/>
          <w:i/>
          <w:sz w:val="28"/>
          <w:szCs w:val="28"/>
        </w:rPr>
        <w:t xml:space="preserve">«ЗА» - 20</w:t>
      </w:r>
      <w:r>
        <w:rPr>
          <w:rFonts w:ascii="PT Astra Serif" w:hAnsi="PT Astra Serif" w:cs="PT Astra Serif"/>
          <w:i/>
          <w:sz w:val="28"/>
          <w:szCs w:val="28"/>
        </w:rPr>
      </w:r>
      <w:r>
        <w:rPr>
          <w:rFonts w:ascii="PT Astra Serif" w:hAnsi="PT Astra Serif" w:cs="PT Astra Serif"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i/>
          <w:sz w:val="28"/>
          <w:szCs w:val="28"/>
        </w:rPr>
        <w:pBdr>
          <w:bottom w:val="none" w:color="000000" w:sz="4" w:space="0"/>
        </w:pBdr>
      </w:pPr>
      <w:r>
        <w:rPr>
          <w:rFonts w:ascii="PT Astra Serif" w:hAnsi="PT Astra Serif" w:cs="PT Astra Serif"/>
          <w:i/>
          <w:sz w:val="28"/>
          <w:szCs w:val="28"/>
        </w:rPr>
        <w:t xml:space="preserve">«ПРОТИВ» - 0</w:t>
      </w:r>
      <w:r>
        <w:rPr>
          <w:rFonts w:ascii="PT Astra Serif" w:hAnsi="PT Astra Serif" w:cs="PT Astra Serif"/>
          <w:i/>
          <w:sz w:val="28"/>
          <w:szCs w:val="28"/>
        </w:rPr>
      </w:r>
      <w:r>
        <w:rPr>
          <w:rFonts w:ascii="PT Astra Serif" w:hAnsi="PT Astra Serif" w:cs="PT Astra Serif"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</w:rPr>
        <w:pBdr>
          <w:bottom w:val="none" w:color="000000" w:sz="4" w:space="0"/>
        </w:pBdr>
      </w:pPr>
      <w:r>
        <w:rPr>
          <w:rFonts w:ascii="PT Astra Serif" w:hAnsi="PT Astra Serif" w:cs="PT Astra Serif"/>
          <w:i/>
          <w:sz w:val="28"/>
          <w:szCs w:val="28"/>
        </w:rPr>
        <w:t xml:space="preserve">«ВОЗДЕРЖАЛИСЬ» 0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b/>
          <w:bCs/>
        </w:rPr>
        <w:pBdr>
          <w:bottom w:val="none" w:color="000000" w:sz="12" w:space="0"/>
        </w:pBdr>
      </w:pPr>
      <w:r>
        <w:rPr>
          <w:rFonts w:ascii="PT Astra Serif" w:hAnsi="PT Astra Serif" w:cs="PT Astra Serif"/>
          <w:b/>
          <w:bCs/>
        </w:rPr>
      </w:r>
      <w:r>
        <w:rPr>
          <w:rFonts w:ascii="PT Astra Serif" w:hAnsi="PT Astra Serif" w:cs="PT Astra Serif"/>
          <w:b/>
          <w:bCs/>
        </w:rPr>
      </w:r>
      <w:r>
        <w:rPr>
          <w:rFonts w:ascii="PT Astra Serif" w:hAnsi="PT Astra Serif" w:cs="PT Astra Serif"/>
          <w:b/>
          <w:bCs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PT Astra Serif"/>
          <w:b/>
          <w:bCs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.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Задачи популяризации геологии и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довузовского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профессионального образования и взаимодействия с общественными организациями</w:t>
      </w:r>
      <w:r>
        <w:rPr>
          <w:rFonts w:ascii="PT Astra Serif" w:hAnsi="PT Astra Serif" w:eastAsia="Times New Roman" w:cs="PT Astra Serif"/>
          <w:b/>
          <w:bCs/>
          <w:sz w:val="28"/>
          <w:szCs w:val="28"/>
        </w:rPr>
      </w:r>
      <w:r>
        <w:rPr>
          <w:rFonts w:ascii="PT Astra Serif" w:hAnsi="PT Astra Serif" w:eastAsia="Times New Roman" w:cs="PT Astra Serif"/>
          <w:b/>
          <w:bCs/>
          <w:sz w:val="28"/>
          <w:szCs w:val="28"/>
        </w:rPr>
      </w:r>
    </w:p>
    <w:p>
      <w:pPr>
        <w:jc w:val="center"/>
        <w:spacing w:after="0" w:line="120" w:lineRule="auto"/>
        <w:rPr>
          <w:rFonts w:ascii="PT Astra Serif" w:hAnsi="PT Astra Serif" w:eastAsia="Times New Roman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________________________________________________________________________</w:t>
      </w:r>
      <w:r>
        <w:rPr>
          <w:rFonts w:ascii="PT Astra Serif" w:hAnsi="PT Astra Serif" w:eastAsia="Times New Roman" w:cs="PT Astra Serif"/>
          <w:sz w:val="28"/>
          <w:szCs w:val="28"/>
        </w:rPr>
      </w:r>
      <w:r>
        <w:rPr>
          <w:rFonts w:ascii="PT Astra Serif" w:hAnsi="PT Astra Serif" w:eastAsia="Times New Roman" w:cs="PT Astra Serif"/>
          <w:sz w:val="28"/>
          <w:szCs w:val="28"/>
        </w:rPr>
      </w:r>
    </w:p>
    <w:p>
      <w:pPr>
        <w:ind w:left="360"/>
        <w:jc w:val="both"/>
        <w:spacing w:line="240" w:lineRule="auto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Заслушали выступление члена Общественного совета при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Роснедрах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– директора Государственного геологического музея им. В.И. Вернадского С.В. Черкасова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о необходимости реализации активного подхода к формированию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общественного мировоззрения в плане горно-геологического воспитания общества следующими методами: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</w:p>
    <w:p>
      <w:pPr>
        <w:pStyle w:val="906"/>
        <w:numPr>
          <w:ilvl w:val="0"/>
          <w:numId w:val="16"/>
        </w:numPr>
        <w:jc w:val="both"/>
        <w:spacing w:line="240" w:lineRule="auto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дополнительное школьное образование, кружковая работа со школьниками,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</w:p>
    <w:p>
      <w:pPr>
        <w:pStyle w:val="906"/>
        <w:numPr>
          <w:ilvl w:val="0"/>
          <w:numId w:val="16"/>
        </w:numPr>
        <w:jc w:val="both"/>
        <w:spacing w:line="240" w:lineRule="auto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создание и продвижение «профильных» произведений искусства, видеоматериалов, обучающих программ,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</w:p>
    <w:p>
      <w:pPr>
        <w:pStyle w:val="906"/>
        <w:numPr>
          <w:ilvl w:val="0"/>
          <w:numId w:val="16"/>
        </w:numPr>
        <w:jc w:val="both"/>
        <w:spacing w:after="0" w:line="240" w:lineRule="auto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вовлечение детей и молодежи в решение творческих задач в области геологии и смежных отраслей,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</w:p>
    <w:p>
      <w:pPr>
        <w:pStyle w:val="906"/>
        <w:numPr>
          <w:ilvl w:val="0"/>
          <w:numId w:val="16"/>
        </w:numPr>
        <w:jc w:val="both"/>
        <w:spacing w:after="0" w:line="240" w:lineRule="auto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активное взаимодействие отраслевых учреждений, организаций, и горно-геологических компаний со средствами массовой информации, направленное на формирование позитивного имиджа отрасли.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Заслушали информационное сообщение исполнительного директора Фонда «Юный геолог» Т.И. Спиридоновой о детско-юношеском геологическом движении.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Заслушали выступление Руководителя Федерального агентства по недропользованию О.В. Казанова о необходимости консолидированного взаимодействия общественных организаций,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Роснедр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, профильных образовательных учреждений и Фонда «Юный геолог» в рамках популяризации геологической отрасли и развития детско-юношеского геологического движения.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Times New Roman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Руководителем Федерального агентства по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недропользованию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 О.В.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Казановым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 было дано поручение Совету Фонда «Юный геолог» проработать вопрос о создании на о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фициальном сайте Федерального агентства по недропользованию в и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нформационно-телекоммуникационной сети «Интернет» раздела «Как стать геологом» с включением в него, в частности, единого перечня мероприятий всех уровней, направленных на развитие и повышение уровня востребованности профильного геологического образования. </w:t>
      </w:r>
      <w:r>
        <w:rPr>
          <w:rFonts w:ascii="PT Astra Serif" w:hAnsi="PT Astra Serif" w:eastAsia="Times New Roman" w:cs="PT Astra Serif"/>
          <w:sz w:val="28"/>
          <w:szCs w:val="28"/>
        </w:rPr>
      </w:r>
      <w:r>
        <w:rPr>
          <w:rFonts w:ascii="PT Astra Serif" w:hAnsi="PT Astra Serif" w:eastAsia="Times New Roman" w:cs="PT Astra Serif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По итогам обсуждения </w:t>
      </w:r>
      <w:r>
        <w:rPr>
          <w:rFonts w:ascii="PT Astra Serif" w:hAnsi="PT Astra Serif" w:eastAsia="Times New Roman" w:cs="PT Astra Serif"/>
          <w:b/>
          <w:bCs/>
          <w:i/>
          <w:sz w:val="28"/>
          <w:szCs w:val="28"/>
          <w:lang w:eastAsia="ru-RU"/>
        </w:rPr>
        <w:t xml:space="preserve">ГОЛОСОВАЛИ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  <w:shd w:val="clear" w:color="auto" w:fill="ffffff"/>
        </w:rPr>
        <w:t xml:space="preserve">за принятие по данному вопросу следующих </w:t>
      </w:r>
      <w:r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  <w:t xml:space="preserve">РЕШЕНИЙ:</w:t>
      </w:r>
      <w:r>
        <w:rPr>
          <w:rFonts w:ascii="PT Astra Serif" w:hAnsi="PT Astra Serif" w:cs="PT Astra Serif"/>
          <w:b/>
          <w:bCs/>
          <w:i/>
          <w:sz w:val="28"/>
          <w:szCs w:val="28"/>
        </w:rPr>
      </w:r>
      <w:r>
        <w:rPr>
          <w:rFonts w:ascii="PT Astra Serif" w:hAnsi="PT Astra Serif" w:cs="PT Astra Serif"/>
          <w:b/>
          <w:bCs/>
          <w:i/>
          <w:sz w:val="28"/>
          <w:szCs w:val="28"/>
        </w:rPr>
      </w:r>
    </w:p>
    <w:p>
      <w:pPr>
        <w:ind w:left="0" w:firstLine="708"/>
        <w:jc w:val="both"/>
        <w:spacing w:after="0" w:line="240" w:lineRule="auto"/>
        <w:rPr>
          <w:rFonts w:ascii="PT Astra Serif" w:hAnsi="PT Astra Serif" w:cs="PT Astra Serif"/>
          <w:i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1. Поддержать позицию Руководителя Федерального агентства по недропользованию О.В. Казанова относительно необходимости консолидированного взаимодействия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 общественных организаций,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Роснедр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, профильных образовательных учреждений и Фонда «Юный геолог» в рамках популяризации геологической отрасли и развития детско-юношеского геологического движения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и одобрить данное Совету Фонда «Юный геолог» поручение о создании раздела «Как стать геологом» на официальном сайте Роснедр в сети Интернет с включением 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в него, в частности, единого перечня мероприятий всех уровней, направленных на развитие и повышение уровня востребованности профильного геологического образовани</w:t>
      </w:r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я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/>
          <w:i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PT Astra Serif"/>
          <w:i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i/>
          <w:sz w:val="28"/>
          <w:szCs w:val="28"/>
          <w:shd w:val="clear" w:color="auto" w:fill="ffffff"/>
        </w:rPr>
      </w:r>
    </w:p>
    <w:p>
      <w:pPr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b w:val="0"/>
          <w:bCs w:val="0"/>
          <w:i w:val="0"/>
          <w:sz w:val="28"/>
          <w:szCs w:val="28"/>
          <w:highlight w:val="none"/>
          <w:shd w:val="clear" w:color="auto" w:fill="ffffff"/>
        </w:rPr>
      </w:pPr>
      <w:r>
        <w:rPr>
          <w:rFonts w:ascii="PT Astra Serif" w:hAnsi="PT Astra Serif" w:cs="PT Astra Serif"/>
          <w:bCs/>
          <w:iCs/>
          <w:sz w:val="28"/>
          <w:szCs w:val="28"/>
          <w:shd w:val="clear" w:color="auto" w:fill="ffffff"/>
        </w:rPr>
        <w:t xml:space="preserve">2.</w:t>
      </w:r>
      <w:r>
        <w:rPr>
          <w:rFonts w:ascii="PT Astra Serif" w:hAnsi="PT Astra Serif" w:cs="PT Astra Serif"/>
          <w:bCs/>
          <w:iCs/>
          <w:sz w:val="28"/>
          <w:szCs w:val="28"/>
          <w:shd w:val="clear" w:color="auto" w:fill="ffffff"/>
        </w:rPr>
        <w:t xml:space="preserve"> Профильной Комиссии Общественного совета при Роснедрах </w:t>
      </w: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  <w:highlight w:val="none"/>
        </w:rPr>
        <w:t xml:space="preserve">по подготовке кадров, отраслевому молодежному движению и популяризации геологии:</w:t>
      </w:r>
      <w:r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z w:val="28"/>
          <w:szCs w:val="28"/>
          <w:highlight w:val="none"/>
          <w:shd w:val="clear" w:color="auto" w:fill="ffffff"/>
        </w:rPr>
      </w:r>
    </w:p>
    <w:p>
      <w:pPr>
        <w:ind w:left="0" w:firstLine="708"/>
        <w:jc w:val="both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PT Astra Serif" w:hAnsi="PT Astra Serif" w:cs="PT Astra Serif"/>
          <w:bCs/>
          <w:iCs/>
          <w:sz w:val="28"/>
          <w:szCs w:val="28"/>
          <w:shd w:val="clear" w:color="auto" w:fill="ffffff"/>
        </w:rPr>
        <w:t xml:space="preserve">- провести совместное заседание </w:t>
      </w:r>
      <w:r>
        <w:rPr>
          <w:rFonts w:ascii="PT Astra Serif" w:hAnsi="PT Astra Serif" w:cs="PT Astra Serif"/>
          <w:iCs/>
          <w:sz w:val="28"/>
          <w:szCs w:val="28"/>
          <w:shd w:val="clear" w:color="auto" w:fill="ffffff"/>
        </w:rPr>
        <w:t xml:space="preserve">с Молодежным советом Роснедр во </w:t>
      </w:r>
      <w:r>
        <w:rPr>
          <w:rFonts w:ascii="PT Astra Serif" w:hAnsi="PT Astra Serif" w:cs="PT Astra Serif"/>
          <w:iCs/>
          <w:sz w:val="28"/>
          <w:szCs w:val="28"/>
          <w:shd w:val="clear" w:color="auto" w:fill="ffffff"/>
          <w:lang w:val="en-US"/>
        </w:rPr>
        <w:t xml:space="preserve">II</w:t>
      </w:r>
      <w:r>
        <w:rPr>
          <w:rFonts w:ascii="PT Astra Serif" w:hAnsi="PT Astra Serif" w:cs="PT Astra Serif"/>
          <w:iCs/>
          <w:sz w:val="28"/>
          <w:szCs w:val="28"/>
          <w:shd w:val="clear" w:color="auto" w:fill="ffffff"/>
        </w:rPr>
        <w:t xml:space="preserve"> квартале 2025 для проработки плана совместных мероприятий;</w:t>
      </w:r>
      <w:r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b/>
          <w:bCs/>
          <w:i/>
          <w:sz w:val="28"/>
          <w:szCs w:val="28"/>
        </w:rPr>
      </w:r>
    </w:p>
    <w:p>
      <w:pPr>
        <w:ind w:left="0" w:firstLine="708"/>
        <w:jc w:val="both"/>
        <w:spacing w:after="0" w:line="240" w:lineRule="auto"/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</w:pPr>
      <w:r>
        <w:rPr>
          <w:rFonts w:ascii="PT Astra Serif" w:hAnsi="PT Astra Serif" w:cs="PT Astra Serif"/>
          <w:iCs/>
          <w:sz w:val="28"/>
          <w:szCs w:val="28"/>
          <w:shd w:val="clear" w:color="auto" w:fill="ffffff"/>
        </w:rPr>
        <w:t xml:space="preserve">- разработать и представить Общественному совету в </w:t>
      </w:r>
      <w:r>
        <w:rPr>
          <w:rFonts w:ascii="PT Astra Serif" w:hAnsi="PT Astra Serif" w:cs="PT Astra Serif"/>
          <w:iCs/>
          <w:sz w:val="28"/>
          <w:szCs w:val="28"/>
          <w:shd w:val="clear" w:color="auto" w:fill="ffffff"/>
          <w:lang w:val="en-US"/>
        </w:rPr>
        <w:t xml:space="preserve">IV</w:t>
      </w:r>
      <w:r>
        <w:rPr>
          <w:rFonts w:ascii="PT Astra Serif" w:hAnsi="PT Astra Serif" w:cs="PT Astra Serif"/>
          <w:iCs/>
          <w:sz w:val="28"/>
          <w:szCs w:val="28"/>
          <w:shd w:val="clear" w:color="auto" w:fill="ffffff"/>
        </w:rPr>
        <w:t xml:space="preserve"> квартале 2025 года концепцию горно-геологического воспитания.</w:t>
      </w:r>
      <w:r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b/>
          <w:i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ab/>
      </w:r>
      <w:r>
        <w:rPr>
          <w:rFonts w:ascii="PT Astra Serif" w:hAnsi="PT Astra Serif" w:cs="PT Astra Serif"/>
          <w:i/>
          <w:sz w:val="28"/>
          <w:szCs w:val="28"/>
        </w:rPr>
        <w:t xml:space="preserve">«ЗА» - 20</w:t>
      </w:r>
      <w:r>
        <w:rPr>
          <w:rFonts w:ascii="PT Astra Serif" w:hAnsi="PT Astra Serif" w:eastAsia="Times New Roman" w:cs="PT Astra Serif"/>
          <w:sz w:val="28"/>
          <w:szCs w:val="28"/>
        </w:rPr>
      </w:r>
      <w:r>
        <w:rPr>
          <w:rFonts w:ascii="PT Astra Serif" w:hAnsi="PT Astra Serif" w:eastAsia="Times New Roman" w:cs="PT Astra Serif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  <w:i/>
          <w:sz w:val="28"/>
          <w:szCs w:val="28"/>
        </w:rPr>
        <w:pBdr>
          <w:bottom w:val="none" w:color="000000" w:sz="4" w:space="0"/>
        </w:pBdr>
      </w:pPr>
      <w:r>
        <w:rPr>
          <w:rFonts w:ascii="PT Astra Serif" w:hAnsi="PT Astra Serif" w:cs="PT Astra Serif"/>
          <w:i/>
          <w:sz w:val="28"/>
          <w:szCs w:val="28"/>
        </w:rPr>
        <w:t xml:space="preserve">«ПРОТИВ» - 0</w:t>
      </w:r>
      <w:r>
        <w:rPr>
          <w:rFonts w:ascii="PT Astra Serif" w:hAnsi="PT Astra Serif" w:cs="PT Astra Serif"/>
          <w:i/>
          <w:sz w:val="28"/>
          <w:szCs w:val="28"/>
        </w:rPr>
      </w:r>
      <w:r>
        <w:rPr>
          <w:rFonts w:ascii="PT Astra Serif" w:hAnsi="PT Astra Serif" w:cs="PT Astra Serif"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</w:rPr>
        <w:pBdr>
          <w:bottom w:val="none" w:color="000000" w:sz="4" w:space="0"/>
        </w:pBdr>
      </w:pPr>
      <w:r>
        <w:rPr>
          <w:rFonts w:ascii="PT Astra Serif" w:hAnsi="PT Astra Serif" w:cs="PT Astra Serif"/>
          <w:i/>
          <w:sz w:val="28"/>
          <w:szCs w:val="28"/>
        </w:rPr>
      </w:r>
      <w:r/>
      <w:r>
        <w:rPr>
          <w:rFonts w:ascii="PT Astra Serif" w:hAnsi="PT Astra Serif" w:cs="PT Astra Serif"/>
          <w:i/>
          <w:sz w:val="28"/>
          <w:szCs w:val="28"/>
        </w:rPr>
        <w:t xml:space="preserve">«ВОЗДЕРЖАЛИСЬ» 0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</w:rPr>
        <w:pBdr>
          <w:bottom w:val="none" w:color="000000" w:sz="4" w:space="0"/>
        </w:pBdr>
      </w:pPr>
      <w:r>
        <w:rPr>
          <w:rFonts w:ascii="PT Astra Serif" w:hAnsi="PT Astra Serif" w:cs="PT Astra Serif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114683</wp:posOffset>
                </wp:positionV>
                <wp:extent cx="1365250" cy="824230"/>
                <wp:effectExtent l="0" t="0" r="0" b="0"/>
                <wp:wrapNone/>
                <wp:docPr id="1" name="Рисунок 11" descr="IMG_9190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3712626" name="Рисунок 11" descr="IMG_9190 (1)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clrChange>
                            <a:clrFrom>
                              <a:srgbClr val="CDCBCE"/>
                            </a:clrFrom>
                            <a:clrTo>
                              <a:srgbClr val="CDCBCE">
                                <a:alpha val="0"/>
                              </a:srgbClr>
                            </a:clrTo>
                          </a:clrChange>
                        </a:blip>
                        <a:srcRect l="64147" t="26767" r="3069" b="39285"/>
                        <a:stretch/>
                      </pic:blipFill>
                      <pic:spPr bwMode="auto">
                        <a:xfrm rot="0" flipH="0" flipV="0">
                          <a:off x="0" y="0"/>
                          <a:ext cx="1365249" cy="824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05.95pt;mso-position-horizontal:absolute;mso-position-vertical-relative:text;margin-top:9.03pt;mso-position-vertical:absolute;width:107.50pt;height:64.90pt;mso-wrap-distance-left:9.00pt;mso-wrap-distance-top:0.00pt;mso-wrap-distance-right:9.00pt;mso-wrap-distance-bottom:0.00pt;rotation:0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</w:rPr>
        <w:pBdr>
          <w:bottom w:val="none" w:color="000000" w:sz="4" w:space="0"/>
        </w:pBd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567"/>
        <w:jc w:val="both"/>
        <w:spacing w:after="0" w:line="240" w:lineRule="auto"/>
        <w:rPr>
          <w:rFonts w:ascii="PT Astra Serif" w:hAnsi="PT Astra Serif" w:cs="PT Astra Serif"/>
        </w:rPr>
        <w:pBdr>
          <w:bottom w:val="none" w:color="000000" w:sz="4" w:space="0"/>
        </w:pBd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Председатель       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t xml:space="preserve">                                                                                                                            </w:t>
      </w:r>
      <w:r/>
      <w:r/>
      <w:r>
        <w:rPr>
          <w:rFonts w:ascii="PT Astra Serif" w:hAnsi="PT Astra Serif" w:eastAsia="Times New Roman" w:cs="PT Astra Serif"/>
          <w:bCs/>
          <w:sz w:val="28"/>
          <w:szCs w:val="28"/>
          <w:lang w:eastAsia="ru-RU"/>
        </w:rPr>
        <w:t xml:space="preserve">М.Ю. Токарев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/>
      <w:r/>
    </w:p>
    <w:p>
      <w:pPr>
        <w:ind w:firstLine="567"/>
        <w:jc w:val="both"/>
        <w:spacing w:after="0" w:line="240" w:lineRule="auto"/>
      </w:pPr>
      <w:r/>
      <w:r/>
    </w:p>
    <w:p>
      <w:r/>
      <w:r/>
    </w:p>
    <w:p>
      <w:pPr>
        <w:tabs>
          <w:tab w:val="left" w:pos="4223" w:leader="none"/>
        </w:tabs>
      </w:pPr>
      <w:r>
        <w:tab/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Batang">
    <w:panose1 w:val="0200050600000002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 w:eastAsia="Times New Roman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5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PT Astra Serif" w:hAnsi="PT Astra Serif" w:eastAsia="PT Astra Serif" w:cs="PT Astra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PT Astra Serif" w:hAnsi="PT Astra Serif" w:eastAsia="PT Astra Serif" w:cs="PT Astra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 w:eastAsiaTheme="minorHAnsi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1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"/>
  </w:num>
  <w:num w:numId="5">
    <w:abstractNumId w:val="14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1"/>
  </w:num>
  <w:num w:numId="11">
    <w:abstractNumId w:val="12"/>
  </w:num>
  <w:num w:numId="12">
    <w:abstractNumId w:val="11"/>
  </w:num>
  <w:num w:numId="13">
    <w:abstractNumId w:val="15"/>
  </w:num>
  <w:num w:numId="14">
    <w:abstractNumId w:val="7"/>
  </w:num>
  <w:num w:numId="15">
    <w:abstractNumId w:val="5"/>
  </w:num>
  <w:num w:numId="16">
    <w:abstractNumId w:val="10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7"/>
    <w:link w:val="739"/>
    <w:uiPriority w:val="10"/>
    <w:rPr>
      <w:sz w:val="48"/>
      <w:szCs w:val="48"/>
    </w:rPr>
  </w:style>
  <w:style w:type="character" w:styleId="710">
    <w:name w:val="Subtitle Char"/>
    <w:basedOn w:val="727"/>
    <w:link w:val="741"/>
    <w:uiPriority w:val="11"/>
    <w:rPr>
      <w:sz w:val="24"/>
      <w:szCs w:val="24"/>
    </w:rPr>
  </w:style>
  <w:style w:type="character" w:styleId="711">
    <w:name w:val="Quote Char"/>
    <w:link w:val="743"/>
    <w:uiPriority w:val="29"/>
    <w:rPr>
      <w:i/>
    </w:rPr>
  </w:style>
  <w:style w:type="character" w:styleId="712">
    <w:name w:val="Intense Quote Char"/>
    <w:link w:val="745"/>
    <w:uiPriority w:val="30"/>
    <w:rPr>
      <w:i/>
    </w:rPr>
  </w:style>
  <w:style w:type="character" w:styleId="713">
    <w:name w:val="Header Char"/>
    <w:basedOn w:val="727"/>
    <w:link w:val="747"/>
    <w:uiPriority w:val="99"/>
  </w:style>
  <w:style w:type="character" w:styleId="714">
    <w:name w:val="Caption Char"/>
    <w:basedOn w:val="751"/>
    <w:link w:val="749"/>
    <w:uiPriority w:val="99"/>
  </w:style>
  <w:style w:type="character" w:styleId="715">
    <w:name w:val="Footnote Text Char"/>
    <w:link w:val="879"/>
    <w:uiPriority w:val="99"/>
    <w:rPr>
      <w:sz w:val="18"/>
    </w:rPr>
  </w:style>
  <w:style w:type="character" w:styleId="716">
    <w:name w:val="Endnote Text Char"/>
    <w:link w:val="882"/>
    <w:uiPriority w:val="99"/>
    <w:rPr>
      <w:sz w:val="20"/>
    </w:rPr>
  </w:style>
  <w:style w:type="paragraph" w:styleId="717" w:default="1">
    <w:name w:val="Normal"/>
    <w:qFormat/>
  </w:style>
  <w:style w:type="paragraph" w:styleId="718">
    <w:name w:val="Heading 1"/>
    <w:basedOn w:val="717"/>
    <w:next w:val="717"/>
    <w:link w:val="73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9">
    <w:name w:val="Heading 2"/>
    <w:basedOn w:val="717"/>
    <w:next w:val="717"/>
    <w:link w:val="73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link w:val="908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27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17"/>
    <w:next w:val="717"/>
    <w:link w:val="740"/>
    <w:uiPriority w:val="10"/>
    <w:qFormat/>
    <w:pPr>
      <w:contextualSpacing/>
      <w:spacing w:before="300"/>
    </w:pPr>
    <w:rPr>
      <w:sz w:val="48"/>
      <w:szCs w:val="48"/>
    </w:rPr>
  </w:style>
  <w:style w:type="character" w:styleId="740" w:customStyle="1">
    <w:name w:val="Название Знак"/>
    <w:basedOn w:val="727"/>
    <w:link w:val="739"/>
    <w:uiPriority w:val="10"/>
    <w:rPr>
      <w:sz w:val="48"/>
      <w:szCs w:val="48"/>
    </w:rPr>
  </w:style>
  <w:style w:type="paragraph" w:styleId="741">
    <w:name w:val="Subtitle"/>
    <w:basedOn w:val="717"/>
    <w:next w:val="717"/>
    <w:link w:val="742"/>
    <w:uiPriority w:val="11"/>
    <w:qFormat/>
    <w:pPr>
      <w:spacing w:before="200"/>
    </w:pPr>
    <w:rPr>
      <w:sz w:val="24"/>
      <w:szCs w:val="24"/>
    </w:rPr>
  </w:style>
  <w:style w:type="character" w:styleId="742" w:customStyle="1">
    <w:name w:val="Подзаголовок Знак"/>
    <w:basedOn w:val="727"/>
    <w:link w:val="741"/>
    <w:uiPriority w:val="11"/>
    <w:rPr>
      <w:sz w:val="24"/>
      <w:szCs w:val="24"/>
    </w:rPr>
  </w:style>
  <w:style w:type="paragraph" w:styleId="743">
    <w:name w:val="Quote"/>
    <w:basedOn w:val="717"/>
    <w:next w:val="717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7"/>
    <w:next w:val="717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7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basedOn w:val="727"/>
    <w:link w:val="747"/>
    <w:uiPriority w:val="99"/>
  </w:style>
  <w:style w:type="paragraph" w:styleId="749">
    <w:name w:val="Footer"/>
    <w:basedOn w:val="717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basedOn w:val="727"/>
    <w:uiPriority w:val="99"/>
  </w:style>
  <w:style w:type="paragraph" w:styleId="751">
    <w:name w:val="Caption"/>
    <w:basedOn w:val="717"/>
    <w:next w:val="71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 w:customStyle="1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 w:customStyle="1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 w:customStyle="1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 w:customStyle="1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 w:customStyle="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717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27"/>
    <w:uiPriority w:val="99"/>
    <w:unhideWhenUsed/>
    <w:rPr>
      <w:vertAlign w:val="superscript"/>
    </w:rPr>
  </w:style>
  <w:style w:type="paragraph" w:styleId="882">
    <w:name w:val="endnote text"/>
    <w:basedOn w:val="717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27"/>
    <w:uiPriority w:val="99"/>
    <w:semiHidden/>
    <w:unhideWhenUsed/>
    <w:rPr>
      <w:vertAlign w:val="superscript"/>
    </w:rPr>
  </w:style>
  <w:style w:type="paragraph" w:styleId="885">
    <w:name w:val="toc 1"/>
    <w:basedOn w:val="717"/>
    <w:next w:val="717"/>
    <w:uiPriority w:val="39"/>
    <w:unhideWhenUsed/>
    <w:pPr>
      <w:spacing w:after="57"/>
    </w:pPr>
  </w:style>
  <w:style w:type="paragraph" w:styleId="886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87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88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89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90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1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2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3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17"/>
    <w:next w:val="717"/>
    <w:uiPriority w:val="99"/>
    <w:unhideWhenUsed/>
    <w:pPr>
      <w:spacing w:after="0"/>
    </w:pPr>
  </w:style>
  <w:style w:type="table" w:styleId="896">
    <w:name w:val="Table Grid"/>
    <w:basedOn w:val="7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>
    <w:name w:val="Balloon Text"/>
    <w:basedOn w:val="717"/>
    <w:link w:val="8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9" w:customStyle="1">
    <w:name w:val="Текст выноски Знак"/>
    <w:basedOn w:val="727"/>
    <w:link w:val="898"/>
    <w:uiPriority w:val="99"/>
    <w:semiHidden/>
    <w:rPr>
      <w:rFonts w:ascii="Tahoma" w:hAnsi="Tahoma" w:cs="Tahoma"/>
      <w:sz w:val="16"/>
      <w:szCs w:val="16"/>
    </w:rPr>
  </w:style>
  <w:style w:type="character" w:styleId="900">
    <w:name w:val="annotation reference"/>
    <w:basedOn w:val="727"/>
    <w:uiPriority w:val="99"/>
    <w:semiHidden/>
    <w:unhideWhenUsed/>
    <w:rPr>
      <w:sz w:val="16"/>
      <w:szCs w:val="16"/>
    </w:rPr>
  </w:style>
  <w:style w:type="paragraph" w:styleId="901">
    <w:name w:val="annotation text"/>
    <w:basedOn w:val="717"/>
    <w:link w:val="9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2" w:customStyle="1">
    <w:name w:val="Текст примечания Знак"/>
    <w:basedOn w:val="727"/>
    <w:link w:val="901"/>
    <w:uiPriority w:val="99"/>
    <w:semiHidden/>
    <w:rPr>
      <w:sz w:val="20"/>
      <w:szCs w:val="20"/>
    </w:rPr>
  </w:style>
  <w:style w:type="paragraph" w:styleId="903">
    <w:name w:val="annotation subject"/>
    <w:basedOn w:val="901"/>
    <w:next w:val="901"/>
    <w:link w:val="904"/>
    <w:uiPriority w:val="99"/>
    <w:semiHidden/>
    <w:unhideWhenUsed/>
    <w:rPr>
      <w:b/>
      <w:bCs/>
    </w:rPr>
  </w:style>
  <w:style w:type="character" w:styleId="904" w:customStyle="1">
    <w:name w:val="Тема примечания Знак"/>
    <w:basedOn w:val="902"/>
    <w:link w:val="903"/>
    <w:uiPriority w:val="99"/>
    <w:semiHidden/>
    <w:rPr>
      <w:b/>
      <w:bCs/>
      <w:sz w:val="20"/>
      <w:szCs w:val="20"/>
    </w:rPr>
  </w:style>
  <w:style w:type="character" w:styleId="905">
    <w:name w:val="Strong"/>
    <w:qFormat/>
    <w:rPr>
      <w:rFonts w:cs="Times New Roman"/>
      <w:b/>
      <w:bCs/>
    </w:rPr>
  </w:style>
  <w:style w:type="paragraph" w:styleId="906">
    <w:name w:val="List Paragraph"/>
    <w:basedOn w:val="717"/>
    <w:uiPriority w:val="34"/>
    <w:qFormat/>
    <w:pPr>
      <w:contextualSpacing/>
      <w:ind w:left="720"/>
    </w:pPr>
  </w:style>
  <w:style w:type="paragraph" w:styleId="907">
    <w:name w:val="Normal (Web)"/>
    <w:basedOn w:val="717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908" w:customStyle="1">
    <w:name w:val="Строгий1"/>
    <w:link w:val="728"/>
    <w:qFormat/>
    <w:rPr>
      <w:rFonts w:cs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99F4-4E76-44A2-9650-D6F7D796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Валуйскова Елена Васильевна</dc:creator>
  <cp:revision>5</cp:revision>
  <dcterms:created xsi:type="dcterms:W3CDTF">2025-02-24T07:37:00Z</dcterms:created>
  <dcterms:modified xsi:type="dcterms:W3CDTF">2025-02-27T10:08:28Z</dcterms:modified>
</cp:coreProperties>
</file>