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E3" w:rsidRPr="00DF67BE" w:rsidRDefault="001929E3" w:rsidP="001929E3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BE">
        <w:rPr>
          <w:rFonts w:ascii="Times New Roman" w:hAnsi="Times New Roman" w:cs="Times New Roman"/>
          <w:b/>
          <w:sz w:val="26"/>
          <w:szCs w:val="26"/>
        </w:rPr>
        <w:t>Часто задаваемые вопросы</w:t>
      </w:r>
      <w:r w:rsidR="006728C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728CA" w:rsidRPr="006728CA">
        <w:rPr>
          <w:rFonts w:ascii="Times New Roman" w:hAnsi="Times New Roman" w:cs="Times New Roman"/>
          <w:b/>
          <w:sz w:val="26"/>
          <w:szCs w:val="26"/>
        </w:rPr>
        <w:t>государственной экспертизе</w:t>
      </w:r>
      <w:r w:rsidR="006728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8CA" w:rsidRPr="006728CA">
        <w:rPr>
          <w:rFonts w:ascii="Times New Roman" w:hAnsi="Times New Roman" w:cs="Times New Roman"/>
          <w:b/>
          <w:sz w:val="26"/>
          <w:szCs w:val="26"/>
        </w:rPr>
        <w:t>запасов полезных ископаемых и подземных вод, геологической информации о предоставляемых в пользование участках недр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78"/>
        <w:gridCol w:w="4810"/>
        <w:gridCol w:w="5203"/>
      </w:tblGrid>
      <w:tr w:rsidR="00DF67BE" w:rsidRPr="00DF67BE" w:rsidTr="00030F9D">
        <w:tc>
          <w:tcPr>
            <w:tcW w:w="478" w:type="dxa"/>
          </w:tcPr>
          <w:p w:rsidR="001929E3" w:rsidRPr="00DF67BE" w:rsidRDefault="001929E3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7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0" w:type="dxa"/>
          </w:tcPr>
          <w:p w:rsidR="001929E3" w:rsidRPr="00DF67BE" w:rsidRDefault="001929E3" w:rsidP="0003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03" w:type="dxa"/>
          </w:tcPr>
          <w:p w:rsidR="001929E3" w:rsidRPr="00DF67BE" w:rsidRDefault="001929E3" w:rsidP="0003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 ответа</w:t>
            </w:r>
          </w:p>
        </w:tc>
      </w:tr>
      <w:tr w:rsidR="002D70D6" w:rsidRPr="00DF67BE" w:rsidTr="00030F9D">
        <w:tc>
          <w:tcPr>
            <w:tcW w:w="478" w:type="dxa"/>
          </w:tcPr>
          <w:p w:rsidR="001929E3" w:rsidRPr="00DF67BE" w:rsidRDefault="003753C2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10" w:type="dxa"/>
          </w:tcPr>
          <w:p w:rsidR="008B1C33" w:rsidRPr="008B1C33" w:rsidRDefault="008B1C33" w:rsidP="008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33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  <w:r w:rsidRPr="008B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приходит </w:t>
            </w:r>
            <w:r w:rsidRPr="008B1C33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уточнении документов и материалов</w:t>
            </w:r>
          </w:p>
          <w:p w:rsidR="001929E3" w:rsidRPr="00DF67BE" w:rsidRDefault="008B1C33" w:rsidP="008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куда</w:t>
            </w:r>
            <w:r w:rsidRPr="008B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загружать доработанные документы и материалы после получения уведомления?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8B1C33" w:rsidRPr="002D70D6" w:rsidRDefault="008B1C33" w:rsidP="0037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>об уточнении документов и материалов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>Личный кабинет недропользователя</w:t>
            </w:r>
            <w:r w:rsidR="002D70D6"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ЛКН)</w:t>
            </w:r>
            <w:r w:rsidR="002D70D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государственных и муниципальных услуг</w:t>
            </w:r>
            <w:r w:rsidR="002D70D6"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ЕПГУ) в зависимости от способа подачи заявления в рамках поданного заявления (в ЛКН – значок справа от поданного заявления)</w:t>
            </w:r>
            <w:r w:rsidR="002D7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9E3" w:rsidRPr="00DF67BE" w:rsidRDefault="008B1C33" w:rsidP="0037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Доработанные документы и материалы загружаются </w:t>
            </w:r>
            <w:r w:rsidR="002D70D6" w:rsidRPr="002D70D6">
              <w:rPr>
                <w:rFonts w:ascii="Times New Roman" w:hAnsi="Times New Roman" w:cs="Times New Roman"/>
                <w:sz w:val="24"/>
                <w:szCs w:val="24"/>
              </w:rPr>
              <w:t>в ЛКН или ЕПГУ</w:t>
            </w:r>
            <w:r w:rsidR="002D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D6" w:rsidRPr="002D70D6">
              <w:rPr>
                <w:rFonts w:ascii="Times New Roman" w:hAnsi="Times New Roman" w:cs="Times New Roman"/>
                <w:sz w:val="24"/>
                <w:szCs w:val="24"/>
              </w:rPr>
              <w:t>в зависимости от способа подачи заявления</w:t>
            </w:r>
            <w:r w:rsidR="002D70D6"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>в поданное заявление в ответ на полученное Уведомление об уточнении документов и материалов (на этой же странице</w:t>
            </w:r>
            <w:r w:rsidR="002D70D6">
              <w:rPr>
                <w:rFonts w:ascii="Times New Roman" w:hAnsi="Times New Roman" w:cs="Times New Roman"/>
                <w:sz w:val="24"/>
                <w:szCs w:val="24"/>
              </w:rPr>
              <w:t>, в ЛКН значок «Подать»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). Документы загружаются один раз </w:t>
            </w:r>
            <w:r w:rsidR="002D70D6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одно уведомление </w:t>
            </w:r>
            <w:r w:rsidRPr="002D70D6">
              <w:rPr>
                <w:rFonts w:ascii="Times New Roman" w:hAnsi="Times New Roman" w:cs="Times New Roman"/>
                <w:sz w:val="24"/>
                <w:szCs w:val="24"/>
              </w:rPr>
              <w:t>и в момент предоставления заявителем доработанных документов и материалов государственная экспертиза будет возобновлена и проведена по представленным материалам.</w:t>
            </w: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3753C2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10" w:type="dxa"/>
          </w:tcPr>
          <w:p w:rsidR="001929E3" w:rsidRPr="00DF67BE" w:rsidRDefault="001929E3" w:rsidP="003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  <w:r w:rsidR="008B1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B1C33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представляемых документах нет </w:t>
            </w:r>
            <w:r w:rsidR="006728CA">
              <w:rPr>
                <w:rFonts w:ascii="Times New Roman" w:hAnsi="Times New Roman" w:cs="Times New Roman"/>
                <w:sz w:val="24"/>
                <w:szCs w:val="24"/>
              </w:rPr>
              <w:t>первичных материалов?</w:t>
            </w:r>
          </w:p>
        </w:tc>
        <w:tc>
          <w:tcPr>
            <w:tcW w:w="5203" w:type="dxa"/>
          </w:tcPr>
          <w:p w:rsidR="001929E3" w:rsidRPr="003753C2" w:rsidRDefault="006728CA" w:rsidP="0037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первичн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 xml:space="preserve">она направлялась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 xml:space="preserve">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предыдущем проведении государственной экспертизы и новый отчет основывается на ранее представленных материалах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в раздел «первичная 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необходимо подгрузить справку недропользователя об 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первичной документации и описанием причины отсутствия необходимости ее повторного предоставления с указанием реестрового номера такой документации во ФГИС «Единый фонд геологической информации» (в том числе, в составе отчета)</w:t>
            </w:r>
          </w:p>
        </w:tc>
      </w:tr>
      <w:tr w:rsidR="00DF67BE" w:rsidRPr="00DF67BE" w:rsidTr="00030F9D">
        <w:tc>
          <w:tcPr>
            <w:tcW w:w="478" w:type="dxa"/>
          </w:tcPr>
          <w:p w:rsidR="001929E3" w:rsidRPr="00DF67BE" w:rsidRDefault="003753C2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0" w:type="dxa"/>
          </w:tcPr>
          <w:p w:rsidR="001929E3" w:rsidRPr="00DF67BE" w:rsidRDefault="00DF67BE" w:rsidP="00DF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необходимо вносить плату за проведение государственной экспертизы  </w:t>
            </w:r>
            <w:r w:rsidR="001929E3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E3"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выявленных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, а когда вовлекаемых в освоение и разрабатываемых    месторождений</w:t>
            </w:r>
            <w:r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1929E3" w:rsidRDefault="00DF67BE" w:rsidP="008B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производится по категории «выявленное месторождение» – если представляются для утверждения запасы по новому месторождению, запасы по которому не учтены государственным балансом полезных ископаемых</w:t>
            </w:r>
            <w:r w:rsidR="008B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1C33" w:rsidRPr="008B1C33" w:rsidRDefault="008B1C33" w:rsidP="008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33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объект не является новым и запасы месторождения учтены государственным балансом – то оплата производится по категории </w:t>
            </w:r>
            <w:r w:rsidRPr="008B1C33">
              <w:rPr>
                <w:rFonts w:ascii="Times New Roman" w:hAnsi="Times New Roman" w:cs="Times New Roman"/>
                <w:sz w:val="24"/>
                <w:szCs w:val="24"/>
              </w:rPr>
              <w:t>вовлекаемых в освоение и разрабатываемых    месторождений</w:t>
            </w:r>
            <w:r w:rsidRPr="008B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FE" w:rsidRPr="00311EFE" w:rsidTr="00030F9D">
        <w:tc>
          <w:tcPr>
            <w:tcW w:w="478" w:type="dxa"/>
          </w:tcPr>
          <w:p w:rsidR="001929E3" w:rsidRPr="00DF67BE" w:rsidRDefault="003753C2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10" w:type="dxa"/>
          </w:tcPr>
          <w:p w:rsidR="001929E3" w:rsidRPr="003753C2" w:rsidRDefault="00311EFE" w:rsidP="0037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753C2">
              <w:rPr>
                <w:rFonts w:ascii="Times New Roman" w:hAnsi="Times New Roman" w:cs="Times New Roman"/>
                <w:b/>
                <w:sz w:val="24"/>
                <w:szCs w:val="24"/>
              </w:rPr>
              <w:t>то нужно прописать в назначении платежа</w:t>
            </w:r>
            <w:r w:rsidRPr="0037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</w:t>
            </w:r>
            <w:r w:rsidR="0082045A" w:rsidRPr="003753C2">
              <w:rPr>
                <w:rFonts w:ascii="Times New Roman" w:hAnsi="Times New Roman" w:cs="Times New Roman"/>
                <w:b/>
                <w:sz w:val="24"/>
                <w:szCs w:val="24"/>
              </w:rPr>
              <w:t>ении государственной экспертизы</w:t>
            </w:r>
            <w:r w:rsidRPr="003753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3753C2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1929E3" w:rsidRPr="00311EFE" w:rsidRDefault="00311EFE" w:rsidP="0031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В поле «Назначение платежа» указывается вид и тип государственной экспертизы, наименование месторождения (участка месторождения) и (или) участка недр,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номер документа, являющегося основанием проведения экспертизы (лицензии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пользование недрами, государственного контракта, государственного задания).</w:t>
            </w:r>
          </w:p>
          <w:p w:rsidR="00311EFE" w:rsidRDefault="00311EFE" w:rsidP="0031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Сведения об этом размещены на сайте Роснедр, в разделе «</w:t>
            </w:r>
            <w:proofErr w:type="spellStart"/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1E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311EFE">
                <w:rPr>
                  <w:rFonts w:ascii="Times New Roman" w:hAnsi="Times New Roman" w:cs="Times New Roman"/>
                  <w:sz w:val="24"/>
                  <w:szCs w:val="24"/>
                </w:rPr>
                <w:t>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1EFE" w:rsidRPr="00311EFE" w:rsidRDefault="00311EFE" w:rsidP="00311EF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11EFE">
              <w:rPr>
                <w:rFonts w:ascii="Arial" w:hAnsi="Arial" w:cs="Arial"/>
                <w:color w:val="000000"/>
                <w:shd w:val="clear" w:color="auto" w:fill="FFFFFF"/>
              </w:rPr>
              <w:t>https://www.rosnedra.gov.ru/article/12394.html</w:t>
            </w:r>
          </w:p>
        </w:tc>
      </w:tr>
      <w:tr w:rsidR="0082045A" w:rsidRPr="00311EFE" w:rsidTr="00030F9D">
        <w:tc>
          <w:tcPr>
            <w:tcW w:w="478" w:type="dxa"/>
          </w:tcPr>
          <w:p w:rsidR="0082045A" w:rsidRPr="00DF67BE" w:rsidRDefault="003753C2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0" w:type="dxa"/>
          </w:tcPr>
          <w:p w:rsidR="0082045A" w:rsidRPr="003077BB" w:rsidRDefault="0082045A" w:rsidP="003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реквизитам </w:t>
            </w:r>
            <w:r w:rsidRPr="003077B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плата</w:t>
            </w:r>
            <w:r w:rsidRPr="0030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  <w:r w:rsidRPr="0030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0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экспертизы? </w:t>
            </w:r>
          </w:p>
        </w:tc>
        <w:tc>
          <w:tcPr>
            <w:tcW w:w="5203" w:type="dxa"/>
          </w:tcPr>
          <w:p w:rsidR="0082045A" w:rsidRPr="003077BB" w:rsidRDefault="0082045A" w:rsidP="00820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по </w:t>
            </w:r>
            <w:r w:rsidRPr="003077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реквизитам Территориального </w:t>
            </w:r>
            <w:r w:rsidR="003753C2"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gramStart"/>
            <w:r w:rsidR="00375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B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епартамента) </w:t>
            </w:r>
            <w:r w:rsidRPr="003077BB">
              <w:rPr>
                <w:rFonts w:ascii="Times New Roman" w:hAnsi="Times New Roman" w:cs="Times New Roman"/>
                <w:sz w:val="24"/>
                <w:szCs w:val="24"/>
              </w:rPr>
              <w:t xml:space="preserve"> Роснедр</w:t>
            </w:r>
            <w:proofErr w:type="gramEnd"/>
            <w:r w:rsidRPr="003077BB">
              <w:rPr>
                <w:rFonts w:ascii="Times New Roman" w:hAnsi="Times New Roman" w:cs="Times New Roman"/>
                <w:sz w:val="24"/>
                <w:szCs w:val="24"/>
              </w:rPr>
              <w:t>, по мест</w:t>
            </w:r>
            <w:r w:rsidRPr="003077BB">
              <w:rPr>
                <w:rFonts w:ascii="Times New Roman" w:hAnsi="Times New Roman" w:cs="Times New Roman"/>
                <w:sz w:val="24"/>
                <w:szCs w:val="24"/>
              </w:rPr>
              <w:t>у нахождения объекта экспертизы (или в тот территориальный орган Роснедр на территории которого находится наибольшая часть объекта)</w:t>
            </w:r>
          </w:p>
          <w:p w:rsidR="0082045A" w:rsidRDefault="0082045A" w:rsidP="00820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Сведения об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реквизиты лицевых счетов размещены </w:t>
            </w:r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на сайте Роснедр, в разделе «</w:t>
            </w:r>
            <w:proofErr w:type="spellStart"/>
            <w:r w:rsidRPr="00311EF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1E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311EFE">
                <w:rPr>
                  <w:rFonts w:ascii="Times New Roman" w:hAnsi="Times New Roman" w:cs="Times New Roman"/>
                  <w:sz w:val="24"/>
                  <w:szCs w:val="24"/>
                </w:rPr>
                <w:t>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045A" w:rsidRPr="00311EFE" w:rsidRDefault="0082045A" w:rsidP="00820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E">
              <w:rPr>
                <w:rFonts w:ascii="Arial" w:hAnsi="Arial" w:cs="Arial"/>
                <w:color w:val="000000"/>
                <w:shd w:val="clear" w:color="auto" w:fill="FFFFFF"/>
              </w:rPr>
              <w:t>https://www.rosnedra.gov.ru/article/12394.html</w:t>
            </w:r>
          </w:p>
        </w:tc>
      </w:tr>
      <w:tr w:rsidR="00DF67BE" w:rsidRPr="00DF67BE" w:rsidTr="00030F9D">
        <w:tc>
          <w:tcPr>
            <w:tcW w:w="478" w:type="dxa"/>
          </w:tcPr>
          <w:p w:rsidR="001929E3" w:rsidRPr="00DF67BE" w:rsidRDefault="00A42F4B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10" w:type="dxa"/>
          </w:tcPr>
          <w:p w:rsidR="001929E3" w:rsidRPr="00DF67BE" w:rsidRDefault="007B151E" w:rsidP="00820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делать, если материалы с подсчетом запасов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проведения государственной экспертизы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готовы, но заканчивается срок действия лицензии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можно ли подать документы после окончания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срока лицензии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ее </w:t>
            </w:r>
            <w:r w:rsidR="00C91311"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досрочного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203" w:type="dxa"/>
          </w:tcPr>
          <w:p w:rsidR="00DF67BE" w:rsidRPr="00DF67BE" w:rsidRDefault="007B151E" w:rsidP="00C9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подать заявление на проведение </w:t>
            </w:r>
            <w:r w:rsidR="00C91311"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  <w:r w:rsidR="00C91311"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запасов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C91311"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прилагаемые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 до окончания срока действия лицензии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1311" w:rsidRPr="00DF67BE" w:rsidRDefault="00DF67BE" w:rsidP="00C9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Подача документов после окончания срока действия лицензии или ее досрочного прекращения не предусмотрена</w:t>
            </w:r>
            <w:r w:rsidRPr="00DF67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согласно п. 6. Правил  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определения размера и порядка взимания платы за ее проведение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01.03.2023 N 335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4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Правила) 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сударственная экс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пертиза проводится по заявлению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недр - в отношении участков недр, предоставленных в пользование</w:t>
            </w:r>
            <w:r w:rsidR="00C91311" w:rsidRPr="00DF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311" w:rsidRPr="00DF67BE" w:rsidRDefault="00C91311" w:rsidP="00C9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A42F4B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10" w:type="dxa"/>
          </w:tcPr>
          <w:p w:rsidR="001929E3" w:rsidRPr="00DF67BE" w:rsidRDefault="00A42F4B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r w:rsidR="00865FDC"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запасов подземных вод, которые используются для целей питьевого водоснабжения или технического водоснабжения с объемом добычи </w:t>
            </w: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 кубических метров в сутки?</w:t>
            </w:r>
            <w:r w:rsidR="00865FDC"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865FDC" w:rsidRPr="00865FDC" w:rsidRDefault="00865FDC" w:rsidP="0086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>Нет, не проводится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 (ст. 29 </w:t>
            </w:r>
            <w:bookmarkStart w:id="0" w:name="_Hlk169177767"/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 РФ от 21.02.1992 N 2395-1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"О недрах"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  <w:p w:rsidR="001929E3" w:rsidRPr="00DF67BE" w:rsidRDefault="001929E3" w:rsidP="0003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865FDC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10" w:type="dxa"/>
          </w:tcPr>
          <w:p w:rsidR="00865FDC" w:rsidRPr="00DF67BE" w:rsidRDefault="00A42F4B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Подлежат ли государственной экспертизе запасы подземных вод для питьевого или технического водоснабжения садоводческих некоммерческих товариществ и (или) огороднических некоммерческих товариществ? </w:t>
            </w:r>
          </w:p>
          <w:p w:rsidR="001929E3" w:rsidRPr="00DF67BE" w:rsidRDefault="001929E3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1929E3" w:rsidRPr="00DF67BE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>Нет, не подлежат (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ст. 19.2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Закона РФ "О недрах")</w:t>
            </w: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865FDC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10" w:type="dxa"/>
          </w:tcPr>
          <w:p w:rsidR="001929E3" w:rsidRPr="00DF67BE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Куда направлять материалы и документы для проведения государственной экспертизы</w:t>
            </w: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участков недр местного значения, а также запасов подземных вод для питьевого или технического водоснабжения с объемом добычи менее 500 м3/</w:t>
            </w:r>
            <w:proofErr w:type="spellStart"/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5203" w:type="dxa"/>
          </w:tcPr>
          <w:p w:rsidR="001929E3" w:rsidRPr="00865FDC" w:rsidRDefault="00865FDC" w:rsidP="0086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Заявитель направляет заявление, документы и материалы в адрес исполнительного органа соответствующего субъекта РФ. Проведение государственной экспертизы осуществляется уполномоченным экспертным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Правил)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865FDC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10" w:type="dxa"/>
          </w:tcPr>
          <w:p w:rsidR="00865FDC" w:rsidRPr="00865FDC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Разрешается ли добыча подземных вод до проведения государственной экспертизы запасов?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9E3" w:rsidRPr="00DF67BE" w:rsidRDefault="001929E3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1929E3" w:rsidRPr="00DF67BE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Нет, добыча подземных вод разрешается только после проведения государственной экспертизы их запасов, за исключением добычи подземных вод, которые используются для целей питьевого или технического водоснабжения и объем добычи которых составляет не более 100 куб. метров в сутки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ст. 29 Закона РФ "О недрах")</w:t>
            </w: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865FDC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10" w:type="dxa"/>
          </w:tcPr>
          <w:p w:rsidR="001929E3" w:rsidRPr="00DF67BE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должна быть оплата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6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государственную экспертизу при оценке запасов подземных вод для одиночного водозабора? </w:t>
            </w:r>
          </w:p>
        </w:tc>
        <w:tc>
          <w:tcPr>
            <w:tcW w:w="5203" w:type="dxa"/>
          </w:tcPr>
          <w:p w:rsidR="001929E3" w:rsidRPr="00DF67BE" w:rsidRDefault="00865FDC" w:rsidP="0086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Одиночный водозабор включает в себя 1 рабочую скважину или 1 рабочую и 1 резервную, 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 xml:space="preserve">за государственную экспертизу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865FDC">
              <w:rPr>
                <w:rFonts w:ascii="Times New Roman" w:hAnsi="Times New Roman" w:cs="Times New Roman"/>
                <w:sz w:val="24"/>
                <w:szCs w:val="24"/>
              </w:rPr>
              <w:t>10 000 руб.</w:t>
            </w: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6E737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10" w:type="dxa"/>
          </w:tcPr>
          <w:p w:rsidR="006E7375" w:rsidRPr="006E7375" w:rsidRDefault="006E7375" w:rsidP="006E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ак правильно посчитать количество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алежей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за которые необходимо произвести оплату за государственную экспертизу запасов при оперативном пересчёте, в случае, если некоторые залежи объединяются и наоборот – разъединяются?</w:t>
            </w:r>
          </w:p>
          <w:p w:rsidR="001929E3" w:rsidRPr="006E7375" w:rsidRDefault="006E7375" w:rsidP="006E73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2)      </w:t>
            </w:r>
          </w:p>
        </w:tc>
        <w:tc>
          <w:tcPr>
            <w:tcW w:w="5203" w:type="dxa"/>
          </w:tcPr>
          <w:p w:rsidR="001929E3" w:rsidRPr="006E7375" w:rsidRDefault="006E7375" w:rsidP="006E73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плату за проведение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оперативному изменению состояния запасов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0E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ОИСЗ)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объединения и разъединения залежей </w:t>
            </w:r>
            <w:r w:rsidRPr="006E737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производить по конечному количеству залежей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апример, у недропользователя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балансе запасов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учтены запасы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залежам, по всем залежам произошли изменения,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геолого-разведочных работ (далее - ГРР),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две залежи объединились в одну, </w:t>
            </w:r>
            <w:proofErr w:type="spellStart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государственную экспертизу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недропользователь представляет три залежи, если же одна из залежей разъединилась на две в результате ГРР, то конечно количество залежей увеличилось до 5, оплату необходимо представлять за 5 залежей (оплата производится за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экспертизу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залежей в соответствии с п.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EFE" w:rsidRPr="006E7375" w:rsidTr="00030F9D">
        <w:tc>
          <w:tcPr>
            <w:tcW w:w="478" w:type="dxa"/>
          </w:tcPr>
          <w:p w:rsidR="001929E3" w:rsidRDefault="006E737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6E7375" w:rsidRPr="00DF67BE" w:rsidRDefault="006E737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</w:tcPr>
          <w:p w:rsidR="006E7375" w:rsidRPr="006E7375" w:rsidRDefault="006E7375" w:rsidP="006E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ак производить оплату за залежь разбитую тектоническими нарушениями на блоки – тектонически экранированные залежи, каждая из которых имеет собственные уровни ВНК, как за одну </w:t>
            </w:r>
            <w:proofErr w:type="gramStart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залежь</w:t>
            </w:r>
            <w:proofErr w:type="gramEnd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осложнённую тектоническими нарушениями или за каждый блок отдельно?</w:t>
            </w:r>
          </w:p>
          <w:p w:rsidR="001929E3" w:rsidRPr="006E7375" w:rsidRDefault="00B311DA" w:rsidP="006E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5203" w:type="dxa"/>
          </w:tcPr>
          <w:p w:rsidR="001929E3" w:rsidRPr="006E7375" w:rsidRDefault="00B311DA" w:rsidP="00B3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плата за тектонически экранированные залежи (блоки), каждая из которых может иметь собственный ВНК или быть полностью изолированной, производится за каждый блок отдельно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ля всех категорий месторождений оплата производится по каждой залежи, в соответствии с п.42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11EFE" w:rsidRPr="006E7375" w:rsidTr="00030F9D">
        <w:tc>
          <w:tcPr>
            <w:tcW w:w="478" w:type="dxa"/>
          </w:tcPr>
          <w:p w:rsidR="001929E3" w:rsidRPr="00DF67BE" w:rsidRDefault="002840EF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810" w:type="dxa"/>
          </w:tcPr>
          <w:p w:rsidR="006E7375" w:rsidRPr="006E7375" w:rsidRDefault="002840EF" w:rsidP="006E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>ак правильно посчитать превышение НГЗ 20 %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запасов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7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75" w:rsidRPr="006E7375" w:rsidRDefault="006E7375" w:rsidP="006E73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29E3" w:rsidRPr="006E7375" w:rsidRDefault="001929E3" w:rsidP="0028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2840EF" w:rsidRDefault="002840EF" w:rsidP="00284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ревышение НГЗ от утверждённых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заключением государственной экспертизы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подсчитывается по месторождению в целом или по комплексу (в случае когда подсчёт запасов выполняется по комплексам, а не по месторождению в целом)  для разрабатываемых месторождений, для сумм категорий запасов АВ1В2 с учётом всех ОИСЗ, которые были после последнего полного пересчёта запасов, с учётом представленных на ОИСЗ изменений (в соответствии с п.68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применению классификации запасов и ресурсов нефти и горючих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01.02.2016 N 3-р</w:t>
            </w:r>
          </w:p>
          <w:p w:rsidR="001929E3" w:rsidRPr="006E7375" w:rsidRDefault="001929E3" w:rsidP="0028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E" w:rsidRPr="00DF67BE" w:rsidTr="00030F9D">
        <w:tc>
          <w:tcPr>
            <w:tcW w:w="478" w:type="dxa"/>
          </w:tcPr>
          <w:p w:rsidR="001929E3" w:rsidRPr="00DF67BE" w:rsidRDefault="00C574B6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810" w:type="dxa"/>
          </w:tcPr>
          <w:p w:rsidR="002840EF" w:rsidRPr="006E7375" w:rsidRDefault="00C574B6" w:rsidP="0028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0EF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ожно ли представлять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экспертизу </w:t>
            </w:r>
            <w:r w:rsidR="002840EF" w:rsidRPr="006E7375">
              <w:rPr>
                <w:rFonts w:ascii="Times New Roman" w:hAnsi="Times New Roman" w:cs="Times New Roman"/>
                <w:sz w:val="24"/>
                <w:szCs w:val="24"/>
              </w:rPr>
              <w:t>открытие нового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УВС </w:t>
            </w:r>
            <w:r w:rsidR="002840EF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сразу же с первым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проектно-техническим документом (далее- </w:t>
            </w:r>
            <w:r w:rsidR="002840EF" w:rsidRPr="006E7375">
              <w:rPr>
                <w:rFonts w:ascii="Times New Roman" w:hAnsi="Times New Roman" w:cs="Times New Roman"/>
                <w:sz w:val="24"/>
                <w:szCs w:val="24"/>
              </w:rPr>
              <w:t>ПТД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0EF" w:rsidRPr="006E73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29E3" w:rsidRPr="00DF67BE" w:rsidRDefault="001929E3" w:rsidP="00C574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:rsidR="001929E3" w:rsidRPr="00DF67BE" w:rsidRDefault="00C574B6" w:rsidP="00C574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открытия очень мелкого и мелкого по объёму НИЗ месторождений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УВС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недропользователь может представить на государственную экспертизу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подсчет запасов</w:t>
            </w:r>
            <w:r w:rsidR="00F26BD5">
              <w:rPr>
                <w:rFonts w:ascii="Times New Roman" w:hAnsi="Times New Roman" w:cs="Times New Roman"/>
                <w:sz w:val="24"/>
                <w:szCs w:val="24"/>
              </w:rPr>
              <w:t xml:space="preserve"> (ОПЗ)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ППЭ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пробной эксплуатации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7375" w:rsidRPr="00DF67BE" w:rsidTr="00030F9D">
        <w:tc>
          <w:tcPr>
            <w:tcW w:w="478" w:type="dxa"/>
          </w:tcPr>
          <w:p w:rsidR="006E7375" w:rsidRPr="00DF67BE" w:rsidRDefault="00C574B6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810" w:type="dxa"/>
          </w:tcPr>
          <w:p w:rsidR="00C574B6" w:rsidRPr="006E7375" w:rsidRDefault="00C574B6" w:rsidP="00C5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ожно ли начать осуществление добычи из новой залежи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УВС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, до получения утверждённого протокола Роснедр?</w:t>
            </w:r>
          </w:p>
          <w:p w:rsidR="006E7375" w:rsidRPr="00DF67BE" w:rsidRDefault="00C574B6" w:rsidP="00C574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6E7375" w:rsidRPr="00DF67BE" w:rsidRDefault="00C574B6" w:rsidP="00C574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ископаемого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только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запасов (п.4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). Результатам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экспертизы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экспертизы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(п.26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), утверждённое протоколом </w:t>
            </w:r>
            <w:proofErr w:type="spellStart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(п.28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75" w:rsidRPr="00DF67BE" w:rsidTr="00030F9D">
        <w:tc>
          <w:tcPr>
            <w:tcW w:w="478" w:type="dxa"/>
          </w:tcPr>
          <w:p w:rsidR="006E7375" w:rsidRPr="00DF67BE" w:rsidRDefault="00F26BD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810" w:type="dxa"/>
          </w:tcPr>
          <w:p w:rsidR="006E7375" w:rsidRPr="00DF67BE" w:rsidRDefault="00C574B6" w:rsidP="00F26B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Можно ли в течении одного календарного года несколько раз по одному месторождению приносить ОПЗ, ОПЗ+ ПТД, ПЗ?</w:t>
            </w:r>
          </w:p>
        </w:tc>
        <w:tc>
          <w:tcPr>
            <w:tcW w:w="5203" w:type="dxa"/>
          </w:tcPr>
          <w:p w:rsidR="006E7375" w:rsidRPr="00DF67BE" w:rsidRDefault="00F26BD5" w:rsidP="007021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на количество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экспертиз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года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7375" w:rsidRPr="00DF67BE" w:rsidTr="00030F9D">
        <w:tc>
          <w:tcPr>
            <w:tcW w:w="478" w:type="dxa"/>
          </w:tcPr>
          <w:p w:rsidR="006E7375" w:rsidRPr="00DF67BE" w:rsidRDefault="00F26BD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810" w:type="dxa"/>
          </w:tcPr>
          <w:p w:rsidR="00C574B6" w:rsidRPr="006E7375" w:rsidRDefault="00F26BD5" w:rsidP="0070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4B6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ужно ли каждый раз </w:t>
            </w:r>
            <w:r w:rsidR="00C574B6" w:rsidRPr="0059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представлении ОИСЗ по </w:t>
            </w:r>
            <w:r w:rsidR="0070218E" w:rsidRPr="0059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трудноизвлекаемым </w:t>
            </w:r>
            <w:r w:rsidR="00C574B6" w:rsidRPr="005942EA">
              <w:rPr>
                <w:rFonts w:ascii="Times New Roman" w:hAnsi="Times New Roman" w:cs="Times New Roman"/>
                <w:b/>
                <w:sz w:val="24"/>
                <w:szCs w:val="24"/>
              </w:rPr>
              <w:t>по стратиграфии залежам</w:t>
            </w:r>
            <w:r w:rsidR="00C574B6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подтверждать принадлежность этих залежей ко льготным стратиграфическим отложениям (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02.11.2021 N 824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стратиграфических характеристик (система, отдел, горизонт, пласт) залежей углеводородного сырья для целей их отнесения к </w:t>
            </w:r>
            <w:proofErr w:type="spellStart"/>
            <w:r w:rsidR="0070218E">
              <w:rPr>
                <w:rFonts w:ascii="Times New Roman" w:hAnsi="Times New Roman" w:cs="Times New Roman"/>
                <w:sz w:val="24"/>
                <w:szCs w:val="24"/>
              </w:rPr>
              <w:t>баженовским</w:t>
            </w:r>
            <w:proofErr w:type="spellEnd"/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18E">
              <w:rPr>
                <w:rFonts w:ascii="Times New Roman" w:hAnsi="Times New Roman" w:cs="Times New Roman"/>
                <w:sz w:val="24"/>
                <w:szCs w:val="24"/>
              </w:rPr>
              <w:t>абалакским</w:t>
            </w:r>
            <w:proofErr w:type="spellEnd"/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18E">
              <w:rPr>
                <w:rFonts w:ascii="Times New Roman" w:hAnsi="Times New Roman" w:cs="Times New Roman"/>
                <w:sz w:val="24"/>
                <w:szCs w:val="24"/>
              </w:rPr>
              <w:t>хадумским</w:t>
            </w:r>
            <w:proofErr w:type="spellEnd"/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18E">
              <w:rPr>
                <w:rFonts w:ascii="Times New Roman" w:hAnsi="Times New Roman" w:cs="Times New Roman"/>
                <w:sz w:val="24"/>
                <w:szCs w:val="24"/>
              </w:rPr>
              <w:t>доманиковым</w:t>
            </w:r>
            <w:proofErr w:type="spellEnd"/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продуктивным отложениям, а также продуктивным отложениям тюменской свиты в соответствии с данными государственного баланса запасов полезных ископаемых"</w:t>
            </w:r>
            <w:r w:rsidR="00C574B6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) и, соответственно, оплачивать принадлежность к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трудноизвлекаемым</w:t>
            </w:r>
            <w:r w:rsidR="00C574B6" w:rsidRPr="006E73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74B6" w:rsidRPr="006E7375" w:rsidRDefault="00F26BD5" w:rsidP="00C5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75" w:rsidRPr="00DF67BE" w:rsidRDefault="006E7375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:rsidR="006E7375" w:rsidRPr="00DF67BE" w:rsidRDefault="0070218E" w:rsidP="007021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BD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тнесение залежей УВС к льготным стратиграфическим отложениям обосновывается один раз (оплата за залежь составляет 36 000 р.) и в последующем при представлении таких залежей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экспертизу </w:t>
            </w:r>
            <w:r w:rsidR="00F26BD5" w:rsidRPr="006E737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стандартная оплата за залежь (30 000 р) (п. 42 </w:t>
            </w:r>
            <w:r w:rsidR="00D429C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26BD5" w:rsidRPr="006E7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7375" w:rsidRPr="00DF67BE" w:rsidTr="00030F9D">
        <w:tc>
          <w:tcPr>
            <w:tcW w:w="478" w:type="dxa"/>
          </w:tcPr>
          <w:p w:rsidR="006E7375" w:rsidRPr="00DF67BE" w:rsidRDefault="0070218E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810" w:type="dxa"/>
          </w:tcPr>
          <w:p w:rsidR="006E7375" w:rsidRPr="00DF67BE" w:rsidRDefault="0032709A" w:rsidP="007021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ФБУ «ГКЗ»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объединение месторождений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соответствующим образом оформить отчёт по подсчёту запасов? </w:t>
            </w:r>
          </w:p>
        </w:tc>
        <w:tc>
          <w:tcPr>
            <w:tcW w:w="5203" w:type="dxa"/>
          </w:tcPr>
          <w:p w:rsidR="006E7375" w:rsidRPr="00DF67BE" w:rsidRDefault="0032709A" w:rsidP="0070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по объединенному месторождению должен быть оформлен в соответствии с требованиями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28.12.2015 N 564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8E">
              <w:rPr>
                <w:rFonts w:ascii="Times New Roman" w:hAnsi="Times New Roman" w:cs="Times New Roman"/>
                <w:sz w:val="24"/>
                <w:szCs w:val="24"/>
              </w:rPr>
              <w:t>"Об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методическими рекомендациями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этом, окончательное решение об объединении месторождений будет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по результатам проведения </w:t>
            </w:r>
            <w:r w:rsidR="0070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09A" w:rsidRPr="00DF67BE" w:rsidTr="00030F9D">
        <w:tc>
          <w:tcPr>
            <w:tcW w:w="478" w:type="dxa"/>
          </w:tcPr>
          <w:p w:rsidR="0032709A" w:rsidRPr="00DF67BE" w:rsidRDefault="005942EA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810" w:type="dxa"/>
          </w:tcPr>
          <w:p w:rsidR="005942EA" w:rsidRDefault="005942EA" w:rsidP="00C86964">
            <w:pPr>
              <w:autoSpaceDE w:val="0"/>
              <w:autoSpaceDN w:val="0"/>
              <w:adjustRightInd w:val="0"/>
              <w:jc w:val="both"/>
            </w:pPr>
            <w:r w:rsidRPr="00C86964">
              <w:rPr>
                <w:rFonts w:ascii="Times New Roman" w:hAnsi="Times New Roman" w:cs="Times New Roman"/>
                <w:sz w:val="24"/>
                <w:szCs w:val="24"/>
              </w:rPr>
              <w:t>Возможно ли представление ПЗ+ПТД по отдельным стратиграфическим комплексам?</w:t>
            </w:r>
            <w:r>
              <w:t xml:space="preserve"> </w:t>
            </w:r>
            <w:r>
              <w:br/>
            </w:r>
            <w:r>
              <w:t xml:space="preserve"> </w:t>
            </w:r>
          </w:p>
          <w:p w:rsidR="0032709A" w:rsidRPr="00DF67BE" w:rsidRDefault="0032709A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:rsidR="0032709A" w:rsidRPr="00DF67BE" w:rsidRDefault="005942EA" w:rsidP="00594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</w:t>
            </w:r>
            <w:r w:rsidRPr="0059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в случае крупных и уникальных месторождений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</w:t>
            </w:r>
            <w:r w:rsidRPr="0059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75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применению классификации запасов и ресурсов нефти и горючих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Распоряжением Минприроды России от 01.02.2016 N 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9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крупных и уникальных месторождений УВС допускается подготовка и представление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экспертизу</w:t>
            </w:r>
            <w:r w:rsidRPr="0059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запасов, документов и материалов подсчета (пересчета) запасов нефти и газа по одной или нескольким стратиграфическим единицам (комплексам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</w:tr>
      <w:tr w:rsidR="005942EA" w:rsidRPr="00DF67BE" w:rsidTr="00030F9D">
        <w:tc>
          <w:tcPr>
            <w:tcW w:w="478" w:type="dxa"/>
          </w:tcPr>
          <w:p w:rsidR="005942EA" w:rsidRPr="00DF67BE" w:rsidRDefault="005942EA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810" w:type="dxa"/>
          </w:tcPr>
          <w:p w:rsidR="005942EA" w:rsidRPr="00C86964" w:rsidRDefault="005942EA" w:rsidP="00C86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представление ПЗ+ПТД по очень мелким месторождениям?</w:t>
            </w:r>
            <w:r w:rsidR="00C86964"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3" w:type="dxa"/>
          </w:tcPr>
          <w:p w:rsidR="005942EA" w:rsidRPr="00C86964" w:rsidRDefault="00C86964" w:rsidP="00C86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мелкие месторождения рассматриваю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только в рамках ОПЗ. 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приложении № 1 к Правилам 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категория очень мелких месторождений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подсчету запасов</w:t>
            </w:r>
          </w:p>
        </w:tc>
      </w:tr>
      <w:tr w:rsidR="005942EA" w:rsidRPr="00DF67BE" w:rsidTr="00030F9D">
        <w:tc>
          <w:tcPr>
            <w:tcW w:w="478" w:type="dxa"/>
          </w:tcPr>
          <w:p w:rsidR="005942EA" w:rsidRPr="00DF67BE" w:rsidRDefault="00C86964" w:rsidP="00030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810" w:type="dxa"/>
          </w:tcPr>
          <w:p w:rsidR="005942EA" w:rsidRPr="00C86964" w:rsidRDefault="00C86964" w:rsidP="00D5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ли представление ПЗ+ПТД по группе месторождений? </w:t>
            </w:r>
          </w:p>
        </w:tc>
        <w:tc>
          <w:tcPr>
            <w:tcW w:w="5203" w:type="dxa"/>
          </w:tcPr>
          <w:p w:rsidR="005942EA" w:rsidRPr="00C86964" w:rsidRDefault="00C86964" w:rsidP="00C8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запасов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по каждому месторождению самостоятельно согласно пункту 3 Приказа Минприроды России от 28.12.2015 N 564 "Об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газов"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одсчет и учет запасов производят по наличию их в недрах по каждой залежи раздельно и месторождению в целом".</w:t>
            </w:r>
          </w:p>
        </w:tc>
      </w:tr>
    </w:tbl>
    <w:p w:rsidR="00055784" w:rsidRPr="00DF67BE" w:rsidRDefault="00055784">
      <w:pPr>
        <w:rPr>
          <w:rFonts w:ascii="Times New Roman" w:hAnsi="Times New Roman" w:cs="Times New Roman"/>
          <w:sz w:val="26"/>
          <w:szCs w:val="26"/>
        </w:rPr>
      </w:pPr>
    </w:p>
    <w:sectPr w:rsidR="00055784" w:rsidRPr="00DF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009"/>
    <w:multiLevelType w:val="hybridMultilevel"/>
    <w:tmpl w:val="D636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E3"/>
    <w:rsid w:val="00055784"/>
    <w:rsid w:val="001929E3"/>
    <w:rsid w:val="002840EF"/>
    <w:rsid w:val="002D70D6"/>
    <w:rsid w:val="003077BB"/>
    <w:rsid w:val="00311EFE"/>
    <w:rsid w:val="0032709A"/>
    <w:rsid w:val="003753C2"/>
    <w:rsid w:val="005942EA"/>
    <w:rsid w:val="005E207E"/>
    <w:rsid w:val="006728CA"/>
    <w:rsid w:val="006E7375"/>
    <w:rsid w:val="0070218E"/>
    <w:rsid w:val="007B151E"/>
    <w:rsid w:val="0082045A"/>
    <w:rsid w:val="00865FDC"/>
    <w:rsid w:val="008B1C33"/>
    <w:rsid w:val="00A42F4B"/>
    <w:rsid w:val="00B311DA"/>
    <w:rsid w:val="00C574B6"/>
    <w:rsid w:val="00C86964"/>
    <w:rsid w:val="00C91311"/>
    <w:rsid w:val="00D429C7"/>
    <w:rsid w:val="00D510E5"/>
    <w:rsid w:val="00DF67BE"/>
    <w:rsid w:val="00F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FB14-73AB-4F55-8ADD-0301172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9E3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1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nedra.gov.ru/article/12394.html" TargetMode="External"/><Relationship Id="rId5" Type="http://schemas.openxmlformats.org/officeDocument/2006/relationships/hyperlink" Target="https://www.rosnedra.gov.ru/article/12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Т.А.</dc:creator>
  <cp:keywords/>
  <dc:description/>
  <cp:lastModifiedBy>Тарасенко Т.А.</cp:lastModifiedBy>
  <cp:revision>11</cp:revision>
  <dcterms:created xsi:type="dcterms:W3CDTF">2024-06-13T08:17:00Z</dcterms:created>
  <dcterms:modified xsi:type="dcterms:W3CDTF">2024-06-13T12:47:00Z</dcterms:modified>
</cp:coreProperties>
</file>