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4928" w:type="dxa"/>
        <w:tblLook w:val="04A0" w:firstRow="1" w:lastRow="0" w:firstColumn="1" w:lastColumn="0" w:noHBand="0" w:noVBand="1"/>
      </w:tblPr>
      <w:tblGrid>
        <w:gridCol w:w="4993"/>
      </w:tblGrid>
      <w:tr w:rsidR="00C84A3A" w:rsidRPr="00C84A3A" w:rsidTr="00C84A3A">
        <w:tc>
          <w:tcPr>
            <w:tcW w:w="5209" w:type="dxa"/>
            <w:tcBorders>
              <w:top w:val="nil"/>
              <w:left w:val="nil"/>
              <w:bottom w:val="nil"/>
              <w:right w:val="nil"/>
            </w:tcBorders>
          </w:tcPr>
          <w:p w:rsidR="00C84A3A" w:rsidRPr="00C84A3A" w:rsidRDefault="00C84A3A" w:rsidP="00C84A3A">
            <w:pPr>
              <w:jc w:val="both"/>
              <w:rPr>
                <w:rFonts w:ascii="Times New Roman" w:hAnsi="Times New Roman" w:cs="Times New Roman"/>
                <w:b/>
                <w:sz w:val="24"/>
                <w:szCs w:val="24"/>
              </w:rPr>
            </w:pPr>
          </w:p>
        </w:tc>
      </w:tr>
    </w:tbl>
    <w:p w:rsidR="00A441BD" w:rsidRPr="00C84A3A" w:rsidRDefault="00A441BD" w:rsidP="00C84A3A">
      <w:pPr>
        <w:spacing w:after="0" w:line="240" w:lineRule="auto"/>
        <w:jc w:val="both"/>
        <w:rPr>
          <w:rFonts w:ascii="Times New Roman" w:hAnsi="Times New Roman" w:cs="Times New Roman"/>
          <w:b/>
          <w:sz w:val="24"/>
          <w:szCs w:val="24"/>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Pr="001319F7" w:rsidRDefault="003152AE" w:rsidP="00502E76">
      <w:pPr>
        <w:spacing w:after="0" w:line="240" w:lineRule="auto"/>
        <w:jc w:val="center"/>
        <w:rPr>
          <w:rFonts w:ascii="Times New Roman" w:hAnsi="Times New Roman" w:cs="Times New Roman"/>
          <w:b/>
          <w:color w:val="5F497A" w:themeColor="accent4" w:themeShade="BF"/>
          <w:sz w:val="32"/>
          <w:szCs w:val="32"/>
        </w:rPr>
      </w:pPr>
      <w:r w:rsidRPr="001319F7">
        <w:rPr>
          <w:rFonts w:ascii="Times New Roman" w:hAnsi="Times New Roman" w:cs="Times New Roman"/>
          <w:b/>
          <w:color w:val="5F497A" w:themeColor="accent4" w:themeShade="BF"/>
          <w:sz w:val="32"/>
          <w:szCs w:val="32"/>
        </w:rPr>
        <w:t>ОТЧЕТ</w:t>
      </w:r>
    </w:p>
    <w:p w:rsidR="00B71682" w:rsidRPr="001319F7" w:rsidRDefault="003152AE" w:rsidP="00502E76">
      <w:pPr>
        <w:spacing w:after="0" w:line="240" w:lineRule="auto"/>
        <w:jc w:val="center"/>
        <w:rPr>
          <w:rFonts w:ascii="Times New Roman" w:hAnsi="Times New Roman" w:cs="Times New Roman"/>
          <w:b/>
          <w:color w:val="5F497A" w:themeColor="accent4" w:themeShade="BF"/>
          <w:sz w:val="32"/>
          <w:szCs w:val="32"/>
        </w:rPr>
      </w:pPr>
      <w:r w:rsidRPr="001319F7">
        <w:rPr>
          <w:rFonts w:ascii="Times New Roman" w:hAnsi="Times New Roman" w:cs="Times New Roman"/>
          <w:b/>
          <w:color w:val="5F497A" w:themeColor="accent4" w:themeShade="BF"/>
          <w:sz w:val="32"/>
          <w:szCs w:val="32"/>
        </w:rPr>
        <w:t>О РЕАЛ</w:t>
      </w:r>
      <w:r w:rsidR="0017230B">
        <w:rPr>
          <w:rFonts w:ascii="Times New Roman" w:hAnsi="Times New Roman" w:cs="Times New Roman"/>
          <w:b/>
          <w:color w:val="5F497A" w:themeColor="accent4" w:themeShade="BF"/>
          <w:sz w:val="32"/>
          <w:szCs w:val="32"/>
        </w:rPr>
        <w:t>И</w:t>
      </w:r>
      <w:r w:rsidRPr="001319F7">
        <w:rPr>
          <w:rFonts w:ascii="Times New Roman" w:hAnsi="Times New Roman" w:cs="Times New Roman"/>
          <w:b/>
          <w:color w:val="5F497A" w:themeColor="accent4" w:themeShade="BF"/>
          <w:sz w:val="32"/>
          <w:szCs w:val="32"/>
        </w:rPr>
        <w:t>З</w:t>
      </w:r>
      <w:r w:rsidR="0017230B">
        <w:rPr>
          <w:rFonts w:ascii="Times New Roman" w:hAnsi="Times New Roman" w:cs="Times New Roman"/>
          <w:b/>
          <w:color w:val="5F497A" w:themeColor="accent4" w:themeShade="BF"/>
          <w:sz w:val="32"/>
          <w:szCs w:val="32"/>
        </w:rPr>
        <w:t>А</w:t>
      </w:r>
      <w:bookmarkStart w:id="0" w:name="_GoBack"/>
      <w:bookmarkEnd w:id="0"/>
      <w:r w:rsidRPr="001319F7">
        <w:rPr>
          <w:rFonts w:ascii="Times New Roman" w:hAnsi="Times New Roman" w:cs="Times New Roman"/>
          <w:b/>
          <w:color w:val="5F497A" w:themeColor="accent4" w:themeShade="BF"/>
          <w:sz w:val="32"/>
          <w:szCs w:val="32"/>
        </w:rPr>
        <w:t xml:space="preserve">ЦИИ </w:t>
      </w:r>
      <w:r w:rsidR="00B71682" w:rsidRPr="001319F7">
        <w:rPr>
          <w:rFonts w:ascii="Times New Roman" w:hAnsi="Times New Roman" w:cs="Times New Roman"/>
          <w:b/>
          <w:color w:val="5F497A" w:themeColor="accent4" w:themeShade="BF"/>
          <w:sz w:val="32"/>
          <w:szCs w:val="32"/>
        </w:rPr>
        <w:t>ПУБЛИЧН</w:t>
      </w:r>
      <w:r w:rsidRPr="001319F7">
        <w:rPr>
          <w:rFonts w:ascii="Times New Roman" w:hAnsi="Times New Roman" w:cs="Times New Roman"/>
          <w:b/>
          <w:color w:val="5F497A" w:themeColor="accent4" w:themeShade="BF"/>
          <w:sz w:val="32"/>
          <w:szCs w:val="32"/>
        </w:rPr>
        <w:t>ОЙ</w:t>
      </w:r>
      <w:r w:rsidR="005E439D" w:rsidRPr="001319F7">
        <w:rPr>
          <w:rFonts w:ascii="Times New Roman" w:hAnsi="Times New Roman" w:cs="Times New Roman"/>
          <w:b/>
          <w:color w:val="5F497A" w:themeColor="accent4" w:themeShade="BF"/>
          <w:sz w:val="32"/>
          <w:szCs w:val="32"/>
        </w:rPr>
        <w:t xml:space="preserve"> ДЕКЛАРАЦИ</w:t>
      </w:r>
      <w:r w:rsidRPr="001319F7">
        <w:rPr>
          <w:rFonts w:ascii="Times New Roman" w:hAnsi="Times New Roman" w:cs="Times New Roman"/>
          <w:b/>
          <w:color w:val="5F497A" w:themeColor="accent4" w:themeShade="BF"/>
          <w:sz w:val="32"/>
          <w:szCs w:val="32"/>
        </w:rPr>
        <w:t>И</w:t>
      </w:r>
    </w:p>
    <w:p w:rsidR="00B71682" w:rsidRPr="001319F7" w:rsidRDefault="00B71682" w:rsidP="00502E76">
      <w:pPr>
        <w:spacing w:after="0" w:line="240" w:lineRule="auto"/>
        <w:jc w:val="center"/>
        <w:rPr>
          <w:rFonts w:ascii="Times New Roman" w:hAnsi="Times New Roman" w:cs="Times New Roman"/>
          <w:b/>
          <w:color w:val="5F497A" w:themeColor="accent4" w:themeShade="BF"/>
          <w:sz w:val="32"/>
          <w:szCs w:val="32"/>
        </w:rPr>
      </w:pPr>
      <w:r w:rsidRPr="001319F7">
        <w:rPr>
          <w:rFonts w:ascii="Times New Roman" w:hAnsi="Times New Roman" w:cs="Times New Roman"/>
          <w:b/>
          <w:color w:val="5F497A" w:themeColor="accent4" w:themeShade="BF"/>
          <w:sz w:val="32"/>
          <w:szCs w:val="32"/>
        </w:rPr>
        <w:t xml:space="preserve"> целей и задач Федерального агентства по недропользованию</w:t>
      </w:r>
    </w:p>
    <w:p w:rsidR="00B71682" w:rsidRPr="001319F7" w:rsidRDefault="007A76EE" w:rsidP="00502E76">
      <w:pPr>
        <w:spacing w:after="0" w:line="240" w:lineRule="auto"/>
        <w:jc w:val="center"/>
        <w:rPr>
          <w:rFonts w:ascii="Times New Roman" w:hAnsi="Times New Roman" w:cs="Times New Roman"/>
          <w:b/>
          <w:color w:val="5F497A" w:themeColor="accent4" w:themeShade="BF"/>
          <w:sz w:val="32"/>
          <w:szCs w:val="32"/>
        </w:rPr>
      </w:pPr>
      <w:r w:rsidRPr="001319F7">
        <w:rPr>
          <w:rFonts w:ascii="Times New Roman" w:hAnsi="Times New Roman" w:cs="Times New Roman"/>
          <w:b/>
          <w:color w:val="5F497A" w:themeColor="accent4" w:themeShade="BF"/>
          <w:sz w:val="32"/>
          <w:szCs w:val="32"/>
        </w:rPr>
        <w:t xml:space="preserve"> на 2020</w:t>
      </w:r>
      <w:r w:rsidR="00B71682" w:rsidRPr="001319F7">
        <w:rPr>
          <w:rFonts w:ascii="Times New Roman" w:hAnsi="Times New Roman" w:cs="Times New Roman"/>
          <w:b/>
          <w:color w:val="5F497A" w:themeColor="accent4" w:themeShade="BF"/>
          <w:sz w:val="32"/>
          <w:szCs w:val="32"/>
        </w:rPr>
        <w:t xml:space="preserve"> год</w:t>
      </w: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5E439D" w:rsidRPr="001319F7" w:rsidRDefault="005E439D"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17230B" w:rsidRPr="001319F7" w:rsidRDefault="0017230B" w:rsidP="00502E76">
      <w:pPr>
        <w:spacing w:after="0" w:line="240" w:lineRule="auto"/>
        <w:jc w:val="center"/>
        <w:rPr>
          <w:rFonts w:ascii="Times New Roman" w:hAnsi="Times New Roman" w:cs="Times New Roman"/>
          <w:b/>
          <w:sz w:val="28"/>
          <w:szCs w:val="28"/>
        </w:rPr>
      </w:pPr>
    </w:p>
    <w:p w:rsidR="00B71682" w:rsidRPr="001319F7" w:rsidRDefault="00B71682" w:rsidP="00502E76">
      <w:pPr>
        <w:spacing w:after="0" w:line="240" w:lineRule="auto"/>
        <w:jc w:val="center"/>
        <w:rPr>
          <w:rFonts w:ascii="Times New Roman" w:hAnsi="Times New Roman" w:cs="Times New Roman"/>
          <w:b/>
          <w:sz w:val="28"/>
          <w:szCs w:val="28"/>
        </w:rPr>
      </w:pPr>
    </w:p>
    <w:p w:rsidR="00DA4FCB" w:rsidRPr="001319F7" w:rsidRDefault="00DA4FCB" w:rsidP="00502E76">
      <w:pPr>
        <w:spacing w:after="0" w:line="240" w:lineRule="auto"/>
        <w:jc w:val="center"/>
        <w:rPr>
          <w:rFonts w:ascii="Times New Roman" w:hAnsi="Times New Roman" w:cs="Times New Roman"/>
          <w:b/>
          <w:sz w:val="28"/>
          <w:szCs w:val="28"/>
        </w:rPr>
      </w:pPr>
    </w:p>
    <w:p w:rsidR="003152AE" w:rsidRDefault="003152AE" w:rsidP="0017230B">
      <w:pPr>
        <w:spacing w:after="0" w:line="240" w:lineRule="auto"/>
        <w:rPr>
          <w:rFonts w:ascii="Times New Roman" w:hAnsi="Times New Roman" w:cs="Times New Roman"/>
          <w:b/>
          <w:sz w:val="28"/>
          <w:szCs w:val="28"/>
        </w:rPr>
      </w:pPr>
    </w:p>
    <w:p w:rsidR="0017230B" w:rsidRDefault="0017230B" w:rsidP="0017230B">
      <w:pPr>
        <w:spacing w:after="0" w:line="240" w:lineRule="auto"/>
        <w:rPr>
          <w:rFonts w:ascii="Times New Roman" w:hAnsi="Times New Roman" w:cs="Times New Roman"/>
          <w:b/>
          <w:sz w:val="28"/>
          <w:szCs w:val="28"/>
        </w:rPr>
      </w:pPr>
    </w:p>
    <w:p w:rsidR="0017230B" w:rsidRPr="001319F7" w:rsidRDefault="0017230B" w:rsidP="0017230B">
      <w:pPr>
        <w:spacing w:after="0" w:line="240" w:lineRule="auto"/>
        <w:rPr>
          <w:rFonts w:ascii="Times New Roman" w:hAnsi="Times New Roman" w:cs="Times New Roman"/>
          <w:b/>
          <w:sz w:val="28"/>
          <w:szCs w:val="28"/>
        </w:rPr>
      </w:pPr>
    </w:p>
    <w:p w:rsidR="003D307F" w:rsidRPr="001319F7" w:rsidRDefault="003D307F" w:rsidP="006E33F9">
      <w:pPr>
        <w:spacing w:after="0" w:line="20" w:lineRule="atLeast"/>
        <w:ind w:firstLine="709"/>
        <w:jc w:val="center"/>
        <w:rPr>
          <w:rFonts w:ascii="Times New Roman" w:hAnsi="Times New Roman" w:cs="Times New Roman"/>
          <w:b/>
          <w:color w:val="5F497A" w:themeColor="accent4" w:themeShade="BF"/>
          <w:sz w:val="28"/>
          <w:szCs w:val="28"/>
        </w:rPr>
      </w:pPr>
    </w:p>
    <w:p w:rsidR="00671008" w:rsidRPr="001319F7" w:rsidRDefault="00671008" w:rsidP="00671008">
      <w:pPr>
        <w:spacing w:after="0" w:line="20" w:lineRule="atLeast"/>
        <w:ind w:firstLine="709"/>
        <w:jc w:val="center"/>
        <w:rPr>
          <w:rFonts w:ascii="Times New Roman" w:hAnsi="Times New Roman" w:cs="Times New Roman"/>
          <w:b/>
          <w:color w:val="5F497A" w:themeColor="accent4" w:themeShade="BF"/>
          <w:sz w:val="28"/>
          <w:szCs w:val="28"/>
        </w:rPr>
      </w:pPr>
      <w:r w:rsidRPr="001319F7">
        <w:rPr>
          <w:rFonts w:ascii="Times New Roman" w:hAnsi="Times New Roman" w:cs="Times New Roman"/>
          <w:b/>
          <w:color w:val="5F497A" w:themeColor="accent4" w:themeShade="BF"/>
          <w:sz w:val="28"/>
          <w:szCs w:val="28"/>
        </w:rPr>
        <w:lastRenderedPageBreak/>
        <w:t>ОРГАНИЗАЦИЯ РЕГИОНАЛЬНОГО ГЕОЛОГИЧЕСКОГО ИЗУЧЕНИЯ НЕДР</w:t>
      </w:r>
    </w:p>
    <w:p w:rsidR="00B03A84" w:rsidRPr="001319F7" w:rsidRDefault="00B03A84" w:rsidP="00671008">
      <w:pPr>
        <w:pStyle w:val="a3"/>
        <w:spacing w:after="0" w:line="20" w:lineRule="atLeast"/>
        <w:ind w:left="0"/>
        <w:rPr>
          <w:b/>
          <w:i/>
          <w:color w:val="E36C0A" w:themeColor="accent6" w:themeShade="BF"/>
          <w:sz w:val="28"/>
          <w:szCs w:val="28"/>
        </w:rPr>
      </w:pPr>
    </w:p>
    <w:p w:rsidR="00671008" w:rsidRPr="001319F7" w:rsidRDefault="00671008" w:rsidP="00671008">
      <w:pPr>
        <w:pStyle w:val="a3"/>
        <w:spacing w:after="0" w:line="20" w:lineRule="atLeast"/>
        <w:ind w:left="0"/>
        <w:rPr>
          <w:b/>
          <w:i/>
          <w:color w:val="E36C0A" w:themeColor="accent6" w:themeShade="BF"/>
          <w:sz w:val="28"/>
          <w:szCs w:val="28"/>
        </w:rPr>
      </w:pPr>
      <w:r w:rsidRPr="001319F7">
        <w:rPr>
          <w:b/>
          <w:i/>
          <w:color w:val="E36C0A" w:themeColor="accent6" w:themeShade="BF"/>
          <w:sz w:val="28"/>
          <w:szCs w:val="28"/>
        </w:rPr>
        <w:t>Цель 1. Повышение степени геологической, геофизической и гидрогеологической изученности территории РФ и ее континентального шельфа,</w:t>
      </w:r>
      <w:r w:rsidRPr="001319F7">
        <w:rPr>
          <w:b/>
          <w:sz w:val="28"/>
          <w:szCs w:val="28"/>
        </w:rPr>
        <w:t xml:space="preserve"> </w:t>
      </w:r>
      <w:r w:rsidRPr="001319F7">
        <w:rPr>
          <w:b/>
          <w:i/>
          <w:color w:val="E36C0A" w:themeColor="accent6" w:themeShade="BF"/>
          <w:sz w:val="28"/>
          <w:szCs w:val="28"/>
        </w:rPr>
        <w:t>государств</w:t>
      </w:r>
      <w:r w:rsidR="00D768F2" w:rsidRPr="001319F7">
        <w:rPr>
          <w:b/>
          <w:i/>
          <w:color w:val="E36C0A" w:themeColor="accent6" w:themeShade="BF"/>
          <w:sz w:val="28"/>
          <w:szCs w:val="28"/>
        </w:rPr>
        <w:t>енный мониторинг состояния недр</w:t>
      </w:r>
    </w:p>
    <w:p w:rsidR="00671008" w:rsidRPr="001319F7" w:rsidRDefault="00671008" w:rsidP="00671008">
      <w:pPr>
        <w:pStyle w:val="a3"/>
        <w:spacing w:after="0" w:line="20" w:lineRule="atLeast"/>
        <w:ind w:left="0"/>
        <w:rPr>
          <w:b/>
          <w:i/>
          <w:color w:val="E36C0A" w:themeColor="accent6" w:themeShade="BF"/>
          <w:sz w:val="28"/>
          <w:szCs w:val="28"/>
        </w:rPr>
      </w:pPr>
    </w:p>
    <w:p w:rsidR="0048740E" w:rsidRPr="001319F7" w:rsidRDefault="0048740E" w:rsidP="0048740E">
      <w:pPr>
        <w:spacing w:after="0" w:line="240" w:lineRule="auto"/>
        <w:ind w:firstLine="567"/>
        <w:jc w:val="both"/>
        <w:rPr>
          <w:rFonts w:ascii="Times New Roman" w:hAnsi="Times New Roman" w:cs="Times New Roman"/>
          <w:sz w:val="28"/>
          <w:szCs w:val="28"/>
        </w:rPr>
      </w:pPr>
      <w:r w:rsidRPr="001319F7">
        <w:rPr>
          <w:rFonts w:ascii="Times New Roman" w:hAnsi="Times New Roman" w:cs="Times New Roman"/>
          <w:color w:val="000000" w:themeColor="text1"/>
          <w:sz w:val="28"/>
          <w:szCs w:val="28"/>
        </w:rPr>
        <w:t>В целях обеспечения прироста геологической, геофизической и гидрогеологической изученности территории России в 2020 год</w:t>
      </w:r>
      <w:r w:rsidR="00675F07" w:rsidRPr="001319F7">
        <w:rPr>
          <w:rFonts w:ascii="Times New Roman" w:hAnsi="Times New Roman" w:cs="Times New Roman"/>
          <w:color w:val="000000" w:themeColor="text1"/>
          <w:sz w:val="28"/>
          <w:szCs w:val="28"/>
        </w:rPr>
        <w:t>у</w:t>
      </w:r>
      <w:r w:rsidRPr="001319F7">
        <w:rPr>
          <w:rFonts w:ascii="Times New Roman" w:hAnsi="Times New Roman" w:cs="Times New Roman"/>
          <w:color w:val="000000" w:themeColor="text1"/>
          <w:sz w:val="28"/>
          <w:szCs w:val="28"/>
        </w:rPr>
        <w:t xml:space="preserve"> выполнялись региональные геолого-геофизические и геолого-съемочные работы, направленные на геологическое изучение территорий </w:t>
      </w:r>
      <w:r w:rsidRPr="001319F7">
        <w:rPr>
          <w:rFonts w:ascii="Times New Roman" w:hAnsi="Times New Roman" w:cs="Times New Roman"/>
          <w:sz w:val="28"/>
          <w:szCs w:val="28"/>
        </w:rPr>
        <w:t>и воспроизводство минерально-сырьевой базы на Северо-Западе, Северном Кавказе, Урале, в Сибири, Забайкалье, на Дальнем Востоке и в Арктиче</w:t>
      </w:r>
      <w:r w:rsidR="000E72F8" w:rsidRPr="001319F7">
        <w:rPr>
          <w:rFonts w:ascii="Times New Roman" w:hAnsi="Times New Roman" w:cs="Times New Roman"/>
          <w:sz w:val="28"/>
          <w:szCs w:val="28"/>
        </w:rPr>
        <w:t>ской зоне Российской Федерации.</w:t>
      </w:r>
    </w:p>
    <w:p w:rsidR="0048740E" w:rsidRPr="001319F7" w:rsidRDefault="0048740E" w:rsidP="0048740E">
      <w:pPr>
        <w:suppressAutoHyphens/>
        <w:spacing w:after="0" w:line="240" w:lineRule="auto"/>
        <w:ind w:firstLine="567"/>
        <w:jc w:val="both"/>
        <w:rPr>
          <w:rFonts w:ascii="Times New Roman" w:hAnsi="Times New Roman" w:cs="Times New Roman"/>
          <w:bCs/>
          <w:color w:val="FF0000"/>
          <w:sz w:val="28"/>
          <w:szCs w:val="28"/>
        </w:rPr>
      </w:pPr>
      <w:r w:rsidRPr="001319F7">
        <w:rPr>
          <w:rFonts w:ascii="Times New Roman" w:hAnsi="Times New Roman" w:cs="Times New Roman"/>
          <w:bCs/>
          <w:sz w:val="28"/>
          <w:szCs w:val="28"/>
        </w:rPr>
        <w:t xml:space="preserve">Также выполнялись работы по созданию государственной сети опорных геолого-геофизических профилей на Дальнем Востоке и в Забайкалье для обеспечения глубинной геолого-геофизической изученности территории России и ее континентального шельфа. </w:t>
      </w:r>
    </w:p>
    <w:p w:rsidR="0048740E" w:rsidRPr="001319F7" w:rsidRDefault="0048740E" w:rsidP="0048740E">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1319F7">
        <w:rPr>
          <w:rFonts w:ascii="Times New Roman" w:eastAsia="Calibri" w:hAnsi="Times New Roman" w:cs="Times New Roman"/>
          <w:sz w:val="28"/>
          <w:szCs w:val="28"/>
        </w:rPr>
        <w:t>Выполнялись мелко- и среднемасштабные гидрогеологические и инженерно-геологические съемки на Северном Кавказе, Дальнем Востоке, в Арктической зоне и регионах России с напряженной водохозяйственной обстановкой для выявления перспективных участков для постановки поисково-оценочных работ на подземные воды и инженерно-геологического обоснования районов перспективного освоения.</w:t>
      </w:r>
    </w:p>
    <w:p w:rsidR="00AD357A" w:rsidRPr="001319F7" w:rsidRDefault="00AD357A" w:rsidP="00AD357A">
      <w:pPr>
        <w:suppressAutoHyphens/>
        <w:spacing w:after="0" w:line="240" w:lineRule="auto"/>
        <w:ind w:firstLine="567"/>
        <w:jc w:val="both"/>
        <w:rPr>
          <w:rFonts w:ascii="Times New Roman" w:hAnsi="Times New Roman" w:cs="Times New Roman"/>
          <w:sz w:val="28"/>
          <w:szCs w:val="28"/>
        </w:rPr>
      </w:pPr>
      <w:r w:rsidRPr="001319F7">
        <w:rPr>
          <w:rFonts w:ascii="Times New Roman" w:hAnsi="Times New Roman" w:cs="Times New Roman"/>
          <w:sz w:val="28"/>
          <w:szCs w:val="28"/>
        </w:rPr>
        <w:t>По состоянию на 31 декабря 2020 года:</w:t>
      </w:r>
    </w:p>
    <w:p w:rsidR="00AD357A" w:rsidRPr="001319F7" w:rsidRDefault="00AD357A" w:rsidP="00AD357A">
      <w:pPr>
        <w:shd w:val="clear" w:color="auto" w:fill="FFFFFF"/>
        <w:spacing w:after="0" w:line="240" w:lineRule="auto"/>
        <w:ind w:left="142"/>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прирост мелкомасштабной геологической изученности территории Российской Федерации и ее континентального шельфа </w:t>
      </w:r>
      <w:r w:rsidR="00E6223F" w:rsidRPr="001319F7">
        <w:rPr>
          <w:rFonts w:ascii="Times New Roman" w:eastAsia="Calibri" w:hAnsi="Times New Roman" w:cs="Times New Roman"/>
          <w:sz w:val="28"/>
          <w:szCs w:val="28"/>
        </w:rPr>
        <w:t>составил</w:t>
      </w:r>
      <w:r w:rsidRPr="001319F7">
        <w:rPr>
          <w:rFonts w:ascii="Times New Roman" w:eastAsia="Calibri" w:hAnsi="Times New Roman" w:cs="Times New Roman"/>
          <w:sz w:val="28"/>
          <w:szCs w:val="28"/>
        </w:rPr>
        <w:t xml:space="preserve"> 6,03% (1407 тыс.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 в т.ч. в пределах континентального шельфа - 0,71% (165,5 тыс.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w:t>
      </w:r>
    </w:p>
    <w:p w:rsidR="00AD357A" w:rsidRPr="001319F7" w:rsidRDefault="00AD357A" w:rsidP="00AD357A">
      <w:pPr>
        <w:shd w:val="clear" w:color="auto" w:fill="FFFFFF"/>
        <w:spacing w:after="0" w:line="240" w:lineRule="auto"/>
        <w:ind w:left="142"/>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подготов</w:t>
      </w:r>
      <w:r w:rsidR="00DA728B" w:rsidRPr="001319F7">
        <w:rPr>
          <w:rFonts w:ascii="Times New Roman" w:eastAsia="Calibri" w:hAnsi="Times New Roman" w:cs="Times New Roman"/>
          <w:sz w:val="28"/>
          <w:szCs w:val="28"/>
        </w:rPr>
        <w:t>лены</w:t>
      </w:r>
      <w:r w:rsidRPr="001319F7">
        <w:rPr>
          <w:rFonts w:ascii="Times New Roman" w:eastAsia="Calibri" w:hAnsi="Times New Roman" w:cs="Times New Roman"/>
          <w:sz w:val="28"/>
          <w:szCs w:val="28"/>
        </w:rPr>
        <w:t xml:space="preserve"> к изданию 7 (издание 9) комплектов Госгеолкарты-1000 третьего поколения;</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прирост среднемасштабной геологической изученности </w:t>
      </w:r>
      <w:r w:rsidR="00DA728B" w:rsidRPr="001319F7">
        <w:rPr>
          <w:rFonts w:ascii="Times New Roman" w:eastAsia="Calibri" w:hAnsi="Times New Roman" w:cs="Times New Roman"/>
          <w:sz w:val="28"/>
          <w:szCs w:val="28"/>
        </w:rPr>
        <w:t>составил</w:t>
      </w:r>
      <w:r w:rsidRPr="001319F7">
        <w:rPr>
          <w:rFonts w:ascii="Times New Roman" w:eastAsia="Calibri" w:hAnsi="Times New Roman" w:cs="Times New Roman"/>
          <w:sz w:val="28"/>
          <w:szCs w:val="28"/>
        </w:rPr>
        <w:t xml:space="preserve"> 77 000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 подготов</w:t>
      </w:r>
      <w:r w:rsidR="00DA728B" w:rsidRPr="001319F7">
        <w:rPr>
          <w:rFonts w:ascii="Times New Roman" w:eastAsia="Calibri" w:hAnsi="Times New Roman" w:cs="Times New Roman"/>
          <w:sz w:val="28"/>
          <w:szCs w:val="28"/>
        </w:rPr>
        <w:t>лены</w:t>
      </w:r>
      <w:r w:rsidR="004B0016" w:rsidRPr="001319F7">
        <w:rPr>
          <w:rFonts w:ascii="Times New Roman" w:eastAsia="Calibri" w:hAnsi="Times New Roman" w:cs="Times New Roman"/>
          <w:sz w:val="28"/>
          <w:szCs w:val="28"/>
        </w:rPr>
        <w:t xml:space="preserve"> к </w:t>
      </w:r>
      <w:r w:rsidRPr="001319F7">
        <w:rPr>
          <w:rFonts w:ascii="Times New Roman" w:eastAsia="Calibri" w:hAnsi="Times New Roman" w:cs="Times New Roman"/>
          <w:sz w:val="28"/>
          <w:szCs w:val="28"/>
        </w:rPr>
        <w:t>изданию 26 листов Госгеолкарты-200, издан</w:t>
      </w:r>
      <w:r w:rsidR="004B0016" w:rsidRPr="001319F7">
        <w:rPr>
          <w:rFonts w:ascii="Times New Roman" w:eastAsia="Calibri" w:hAnsi="Times New Roman" w:cs="Times New Roman"/>
          <w:sz w:val="28"/>
          <w:szCs w:val="28"/>
        </w:rPr>
        <w:t>ы</w:t>
      </w:r>
      <w:r w:rsidRPr="001319F7">
        <w:rPr>
          <w:rFonts w:ascii="Times New Roman" w:eastAsia="Calibri" w:hAnsi="Times New Roman" w:cs="Times New Roman"/>
          <w:sz w:val="28"/>
          <w:szCs w:val="28"/>
        </w:rPr>
        <w:t xml:space="preserve"> 43 лист</w:t>
      </w:r>
      <w:r w:rsidR="004B0016"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прирост фонда перспективных площадей (на 40 участков) для постановки поисковых работ на высоколиквидные и остродефицитные виды полезных ископаемых преимущественно в Сибири и на Дальнем Востоке;</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прирост гравиметрической изученности </w:t>
      </w:r>
      <w:r w:rsidR="004B0016" w:rsidRPr="001319F7">
        <w:rPr>
          <w:rFonts w:ascii="Times New Roman" w:eastAsia="Calibri" w:hAnsi="Times New Roman" w:cs="Times New Roman"/>
          <w:sz w:val="28"/>
          <w:szCs w:val="28"/>
        </w:rPr>
        <w:t>составил</w:t>
      </w:r>
      <w:r w:rsidRPr="001319F7">
        <w:rPr>
          <w:rFonts w:ascii="Times New Roman" w:eastAsia="Calibri" w:hAnsi="Times New Roman" w:cs="Times New Roman"/>
          <w:sz w:val="28"/>
          <w:szCs w:val="28"/>
        </w:rPr>
        <w:t xml:space="preserve"> 8000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прирост гидрогеологической и инженерно-геологической изу</w:t>
      </w:r>
      <w:r w:rsidR="004B0016" w:rsidRPr="001319F7">
        <w:rPr>
          <w:rFonts w:ascii="Times New Roman" w:eastAsia="Calibri" w:hAnsi="Times New Roman" w:cs="Times New Roman"/>
          <w:sz w:val="28"/>
          <w:szCs w:val="28"/>
        </w:rPr>
        <w:t>ченности масштаба 1:1 000 000 составил</w:t>
      </w:r>
      <w:r w:rsidRPr="001319F7">
        <w:rPr>
          <w:rFonts w:ascii="Times New Roman" w:eastAsia="Calibri" w:hAnsi="Times New Roman" w:cs="Times New Roman"/>
          <w:sz w:val="28"/>
          <w:szCs w:val="28"/>
        </w:rPr>
        <w:t>124,0 тыс.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прирост гидрогеологической и</w:t>
      </w:r>
      <w:r w:rsidR="004B0016" w:rsidRPr="001319F7">
        <w:rPr>
          <w:rFonts w:ascii="Times New Roman" w:eastAsia="Calibri" w:hAnsi="Times New Roman" w:cs="Times New Roman"/>
          <w:sz w:val="28"/>
          <w:szCs w:val="28"/>
        </w:rPr>
        <w:t xml:space="preserve">зученности масштаба 1:200 000 составил </w:t>
      </w:r>
      <w:r w:rsidRPr="001319F7">
        <w:rPr>
          <w:rFonts w:ascii="Times New Roman" w:eastAsia="Calibri" w:hAnsi="Times New Roman" w:cs="Times New Roman"/>
          <w:sz w:val="28"/>
          <w:szCs w:val="28"/>
        </w:rPr>
        <w:t>13,3 тыс. км</w:t>
      </w:r>
      <w:r w:rsidRPr="001319F7">
        <w:rPr>
          <w:rFonts w:ascii="Times New Roman" w:eastAsia="Calibri" w:hAnsi="Times New Roman" w:cs="Times New Roman"/>
          <w:sz w:val="28"/>
          <w:szCs w:val="28"/>
          <w:vertAlign w:val="superscript"/>
        </w:rPr>
        <w:t>2</w:t>
      </w:r>
      <w:r w:rsidRPr="001319F7">
        <w:rPr>
          <w:rFonts w:ascii="Times New Roman" w:eastAsia="Calibri" w:hAnsi="Times New Roman" w:cs="Times New Roman"/>
          <w:sz w:val="28"/>
          <w:szCs w:val="28"/>
        </w:rPr>
        <w:t>;</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актуализ</w:t>
      </w:r>
      <w:r w:rsidR="004B0016" w:rsidRPr="001319F7">
        <w:rPr>
          <w:rFonts w:ascii="Times New Roman" w:eastAsia="Calibri" w:hAnsi="Times New Roman" w:cs="Times New Roman"/>
          <w:sz w:val="28"/>
          <w:szCs w:val="28"/>
        </w:rPr>
        <w:t>ирована</w:t>
      </w:r>
      <w:r w:rsidRPr="001319F7">
        <w:rPr>
          <w:rFonts w:ascii="Times New Roman" w:eastAsia="Calibri" w:hAnsi="Times New Roman" w:cs="Times New Roman"/>
          <w:sz w:val="28"/>
          <w:szCs w:val="28"/>
        </w:rPr>
        <w:t xml:space="preserve"> гидрогеологическ</w:t>
      </w:r>
      <w:r w:rsidR="004B0016" w:rsidRPr="001319F7">
        <w:rPr>
          <w:rFonts w:ascii="Times New Roman" w:eastAsia="Calibri" w:hAnsi="Times New Roman" w:cs="Times New Roman"/>
          <w:sz w:val="28"/>
          <w:szCs w:val="28"/>
        </w:rPr>
        <w:t>ая</w:t>
      </w:r>
      <w:r w:rsidRPr="001319F7">
        <w:rPr>
          <w:rFonts w:ascii="Times New Roman" w:eastAsia="Calibri" w:hAnsi="Times New Roman" w:cs="Times New Roman"/>
          <w:sz w:val="28"/>
          <w:szCs w:val="28"/>
        </w:rPr>
        <w:t xml:space="preserve"> карт</w:t>
      </w:r>
      <w:r w:rsidR="004B0016"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 xml:space="preserve"> России масштаба 1:2 500 000, составлен</w:t>
      </w:r>
      <w:r w:rsidR="004B0016" w:rsidRPr="001319F7">
        <w:rPr>
          <w:rFonts w:ascii="Times New Roman" w:eastAsia="Calibri" w:hAnsi="Times New Roman" w:cs="Times New Roman"/>
          <w:sz w:val="28"/>
          <w:szCs w:val="28"/>
        </w:rPr>
        <w:t>ы</w:t>
      </w:r>
      <w:r w:rsidRPr="001319F7">
        <w:rPr>
          <w:rFonts w:ascii="Times New Roman" w:eastAsia="Calibri" w:hAnsi="Times New Roman" w:cs="Times New Roman"/>
          <w:sz w:val="28"/>
          <w:szCs w:val="28"/>
        </w:rPr>
        <w:t xml:space="preserve"> комплект</w:t>
      </w:r>
      <w:r w:rsidR="004B0016" w:rsidRPr="001319F7">
        <w:rPr>
          <w:rFonts w:ascii="Times New Roman" w:eastAsia="Calibri" w:hAnsi="Times New Roman" w:cs="Times New Roman"/>
          <w:sz w:val="28"/>
          <w:szCs w:val="28"/>
        </w:rPr>
        <w:t>ы</w:t>
      </w:r>
      <w:r w:rsidRPr="001319F7">
        <w:rPr>
          <w:rFonts w:ascii="Times New Roman" w:eastAsia="Calibri" w:hAnsi="Times New Roman" w:cs="Times New Roman"/>
          <w:sz w:val="28"/>
          <w:szCs w:val="28"/>
        </w:rPr>
        <w:t xml:space="preserve"> специализированных гидрогеологических карт для захоронения жидких отходов опасных производств;</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прирост государственной сети опорных геолого-геофизических профилей </w:t>
      </w:r>
      <w:r w:rsidR="004B0016" w:rsidRPr="001319F7">
        <w:rPr>
          <w:rFonts w:ascii="Times New Roman" w:eastAsia="Calibri" w:hAnsi="Times New Roman" w:cs="Times New Roman"/>
          <w:sz w:val="28"/>
          <w:szCs w:val="28"/>
        </w:rPr>
        <w:t>составил</w:t>
      </w:r>
      <w:r w:rsidRPr="001319F7">
        <w:rPr>
          <w:rFonts w:ascii="Times New Roman" w:eastAsia="Calibri" w:hAnsi="Times New Roman" w:cs="Times New Roman"/>
          <w:sz w:val="28"/>
          <w:szCs w:val="28"/>
        </w:rPr>
        <w:t xml:space="preserve"> 134 пог. км;</w:t>
      </w:r>
    </w:p>
    <w:p w:rsidR="00AD357A" w:rsidRPr="001319F7" w:rsidRDefault="004B0016"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проведились</w:t>
      </w:r>
      <w:r w:rsidR="00AD357A" w:rsidRPr="001319F7">
        <w:rPr>
          <w:rFonts w:ascii="Times New Roman" w:eastAsia="Calibri" w:hAnsi="Times New Roman" w:cs="Times New Roman"/>
          <w:sz w:val="28"/>
          <w:szCs w:val="28"/>
        </w:rPr>
        <w:t xml:space="preserve"> военно-геологических работ</w:t>
      </w:r>
      <w:r w:rsidRPr="001319F7">
        <w:rPr>
          <w:rFonts w:ascii="Times New Roman" w:eastAsia="Calibri" w:hAnsi="Times New Roman" w:cs="Times New Roman"/>
          <w:sz w:val="28"/>
          <w:szCs w:val="28"/>
        </w:rPr>
        <w:t>ы</w:t>
      </w:r>
      <w:r w:rsidR="00AD357A" w:rsidRPr="001319F7">
        <w:rPr>
          <w:rFonts w:ascii="Times New Roman" w:eastAsia="Calibri" w:hAnsi="Times New Roman" w:cs="Times New Roman"/>
          <w:sz w:val="28"/>
          <w:szCs w:val="28"/>
        </w:rPr>
        <w:t xml:space="preserve"> на 19 локальных объектах;</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lastRenderedPageBreak/>
        <w:t>- провед</w:t>
      </w:r>
      <w:r w:rsidR="004B0016" w:rsidRPr="001319F7">
        <w:rPr>
          <w:rFonts w:ascii="Times New Roman" w:eastAsia="Calibri" w:hAnsi="Times New Roman" w:cs="Times New Roman"/>
          <w:sz w:val="28"/>
          <w:szCs w:val="28"/>
        </w:rPr>
        <w:t>ились</w:t>
      </w:r>
      <w:r w:rsidRPr="001319F7">
        <w:rPr>
          <w:rFonts w:ascii="Times New Roman" w:eastAsia="Calibri" w:hAnsi="Times New Roman" w:cs="Times New Roman"/>
          <w:sz w:val="28"/>
          <w:szCs w:val="28"/>
        </w:rPr>
        <w:t xml:space="preserve"> работ по государственному мониторингу состояния недр на 935 пунктах наблюдательной сети за экзогенными геологическими процессами, 6410 пунктах наблюдений за состоянием подземных вод;</w:t>
      </w:r>
    </w:p>
    <w:p w:rsidR="00AD357A" w:rsidRPr="001319F7" w:rsidRDefault="00AD357A" w:rsidP="00AD357A">
      <w:pPr>
        <w:shd w:val="clear" w:color="auto" w:fill="FFFFFF"/>
        <w:spacing w:after="0" w:line="240" w:lineRule="auto"/>
        <w:jc w:val="both"/>
        <w:outlineLvl w:val="0"/>
        <w:rPr>
          <w:rFonts w:ascii="Times New Roman" w:eastAsia="Calibri" w:hAnsi="Times New Roman" w:cs="Times New Roman"/>
          <w:sz w:val="28"/>
          <w:szCs w:val="28"/>
        </w:rPr>
      </w:pPr>
      <w:r w:rsidRPr="001319F7">
        <w:rPr>
          <w:rFonts w:ascii="Times New Roman" w:eastAsia="Calibri" w:hAnsi="Times New Roman" w:cs="Times New Roman"/>
          <w:sz w:val="28"/>
          <w:szCs w:val="28"/>
        </w:rPr>
        <w:t>- провед</w:t>
      </w:r>
      <w:r w:rsidR="004B0016" w:rsidRPr="001319F7">
        <w:rPr>
          <w:rFonts w:ascii="Times New Roman" w:eastAsia="Calibri" w:hAnsi="Times New Roman" w:cs="Times New Roman"/>
          <w:sz w:val="28"/>
          <w:szCs w:val="28"/>
        </w:rPr>
        <w:t>ились</w:t>
      </w:r>
      <w:r w:rsidRPr="001319F7">
        <w:rPr>
          <w:rFonts w:ascii="Times New Roman" w:eastAsia="Calibri" w:hAnsi="Times New Roman" w:cs="Times New Roman"/>
          <w:sz w:val="28"/>
          <w:szCs w:val="28"/>
        </w:rPr>
        <w:t xml:space="preserve"> геологическо</w:t>
      </w:r>
      <w:r w:rsidR="004B0016" w:rsidRPr="001319F7">
        <w:rPr>
          <w:rFonts w:ascii="Times New Roman" w:eastAsia="Calibri" w:hAnsi="Times New Roman" w:cs="Times New Roman"/>
          <w:sz w:val="28"/>
          <w:szCs w:val="28"/>
        </w:rPr>
        <w:t xml:space="preserve">е </w:t>
      </w:r>
      <w:r w:rsidRPr="001319F7">
        <w:rPr>
          <w:rFonts w:ascii="Times New Roman" w:eastAsia="Calibri" w:hAnsi="Times New Roman" w:cs="Times New Roman"/>
          <w:sz w:val="28"/>
          <w:szCs w:val="28"/>
        </w:rPr>
        <w:t>доизучени</w:t>
      </w:r>
      <w:r w:rsidR="004B0016" w:rsidRPr="001319F7">
        <w:rPr>
          <w:rFonts w:ascii="Times New Roman" w:eastAsia="Calibri" w:hAnsi="Times New Roman" w:cs="Times New Roman"/>
          <w:sz w:val="28"/>
          <w:szCs w:val="28"/>
        </w:rPr>
        <w:t>е</w:t>
      </w:r>
      <w:r w:rsidRPr="001319F7">
        <w:rPr>
          <w:rFonts w:ascii="Times New Roman" w:eastAsia="Calibri" w:hAnsi="Times New Roman" w:cs="Times New Roman"/>
          <w:sz w:val="28"/>
          <w:szCs w:val="28"/>
        </w:rPr>
        <w:t xml:space="preserve"> и мониторинг экологического состояния подземных вод и опасных геологических процессов на 54 пунктах (постах) наблюдений в границах Байкальской природной территории.</w:t>
      </w:r>
    </w:p>
    <w:p w:rsidR="004B0016" w:rsidRPr="001319F7" w:rsidRDefault="0048740E" w:rsidP="0048740E">
      <w:pPr>
        <w:tabs>
          <w:tab w:val="left" w:pos="426"/>
        </w:tabs>
        <w:spacing w:after="0" w:line="240" w:lineRule="auto"/>
        <w:ind w:firstLine="567"/>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В целях осуществления государственного мониторинга состояния недр проводились геолого-геофизические работы по прогнозу землетрясений, включая оценку сейсмогеодинамического состояния Северо-Кавказского, Алтае-Саянского, Байкальского и Дальневосточного сейсмоопасных регионов</w:t>
      </w:r>
      <w:r w:rsidRPr="001319F7">
        <w:t xml:space="preserve"> (</w:t>
      </w:r>
      <w:r w:rsidRPr="001319F7">
        <w:rPr>
          <w:rFonts w:ascii="Times New Roman" w:eastAsia="Calibri" w:hAnsi="Times New Roman" w:cs="Times New Roman"/>
          <w:sz w:val="28"/>
          <w:szCs w:val="28"/>
        </w:rPr>
        <w:t>на 97 наблюдательных скважинах и на 8 полигонах)</w:t>
      </w:r>
      <w:r w:rsidR="003F019A" w:rsidRPr="001319F7">
        <w:rPr>
          <w:rFonts w:ascii="Times New Roman" w:eastAsia="Calibri" w:hAnsi="Times New Roman" w:cs="Times New Roman"/>
          <w:sz w:val="28"/>
          <w:szCs w:val="28"/>
        </w:rPr>
        <w:t>,</w:t>
      </w:r>
      <w:r w:rsidRPr="001319F7">
        <w:rPr>
          <w:rFonts w:ascii="Times New Roman" w:eastAsia="Calibri" w:hAnsi="Times New Roman" w:cs="Times New Roman"/>
          <w:sz w:val="28"/>
          <w:szCs w:val="28"/>
        </w:rPr>
        <w:t xml:space="preserve">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 </w:t>
      </w:r>
    </w:p>
    <w:p w:rsidR="0048740E" w:rsidRPr="001319F7" w:rsidRDefault="0048740E" w:rsidP="0048740E">
      <w:pPr>
        <w:tabs>
          <w:tab w:val="left" w:pos="426"/>
        </w:tabs>
        <w:spacing w:after="0" w:line="240" w:lineRule="auto"/>
        <w:ind w:firstLine="567"/>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На пост</w:t>
      </w:r>
      <w:r w:rsidR="004B0016" w:rsidRPr="001319F7">
        <w:rPr>
          <w:rFonts w:ascii="Times New Roman" w:eastAsia="Calibri" w:hAnsi="Times New Roman" w:cs="Times New Roman"/>
          <w:sz w:val="28"/>
          <w:szCs w:val="28"/>
        </w:rPr>
        <w:t xml:space="preserve">оянной основе организовано проводился </w:t>
      </w:r>
      <w:r w:rsidRPr="001319F7">
        <w:rPr>
          <w:rFonts w:ascii="Times New Roman" w:eastAsia="Calibri" w:hAnsi="Times New Roman" w:cs="Times New Roman"/>
          <w:sz w:val="28"/>
          <w:szCs w:val="28"/>
        </w:rPr>
        <w:t>государственн</w:t>
      </w:r>
      <w:r w:rsidR="004B0016" w:rsidRPr="001319F7">
        <w:rPr>
          <w:rFonts w:ascii="Times New Roman" w:eastAsia="Calibri" w:hAnsi="Times New Roman" w:cs="Times New Roman"/>
          <w:sz w:val="28"/>
          <w:szCs w:val="28"/>
        </w:rPr>
        <w:t xml:space="preserve">ый </w:t>
      </w:r>
      <w:r w:rsidRPr="001319F7">
        <w:rPr>
          <w:rFonts w:ascii="Times New Roman" w:eastAsia="Calibri" w:hAnsi="Times New Roman" w:cs="Times New Roman"/>
          <w:sz w:val="28"/>
          <w:szCs w:val="28"/>
        </w:rPr>
        <w:t>монитор</w:t>
      </w:r>
      <w:r w:rsidR="004B0016" w:rsidRPr="001319F7">
        <w:rPr>
          <w:rFonts w:ascii="Times New Roman" w:eastAsia="Calibri" w:hAnsi="Times New Roman" w:cs="Times New Roman"/>
          <w:sz w:val="28"/>
          <w:szCs w:val="28"/>
        </w:rPr>
        <w:t xml:space="preserve">инг </w:t>
      </w:r>
      <w:r w:rsidRPr="001319F7">
        <w:rPr>
          <w:rFonts w:ascii="Times New Roman" w:eastAsia="Calibri" w:hAnsi="Times New Roman" w:cs="Times New Roman"/>
          <w:sz w:val="28"/>
          <w:szCs w:val="28"/>
        </w:rPr>
        <w:t>состояния недр на всей территории Российской Федерации</w:t>
      </w:r>
      <w:r w:rsidRPr="001319F7">
        <w:t xml:space="preserve"> (</w:t>
      </w:r>
      <w:r w:rsidRPr="001319F7">
        <w:rPr>
          <w:rFonts w:ascii="Times New Roman" w:eastAsia="Calibri" w:hAnsi="Times New Roman" w:cs="Times New Roman"/>
          <w:sz w:val="28"/>
          <w:szCs w:val="28"/>
        </w:rPr>
        <w:t xml:space="preserve">на 935 пунктах наблюдений за опасными экзогенными геологическими процессами и на 6410 пунктах </w:t>
      </w:r>
      <w:r w:rsidR="003F019A" w:rsidRPr="001319F7">
        <w:rPr>
          <w:rFonts w:ascii="Times New Roman" w:eastAsia="Calibri" w:hAnsi="Times New Roman" w:cs="Times New Roman"/>
          <w:sz w:val="28"/>
          <w:szCs w:val="28"/>
        </w:rPr>
        <w:t>–</w:t>
      </w:r>
      <w:r w:rsidRPr="001319F7">
        <w:rPr>
          <w:rFonts w:ascii="Times New Roman" w:eastAsia="Calibri" w:hAnsi="Times New Roman" w:cs="Times New Roman"/>
          <w:sz w:val="28"/>
          <w:szCs w:val="28"/>
        </w:rPr>
        <w:t xml:space="preserve"> за режимом подземных вод и их загрязнением), включая оценк</w:t>
      </w:r>
      <w:r w:rsidR="003F019A" w:rsidRPr="001319F7">
        <w:rPr>
          <w:rFonts w:ascii="Times New Roman" w:eastAsia="Calibri" w:hAnsi="Times New Roman" w:cs="Times New Roman"/>
          <w:sz w:val="28"/>
          <w:szCs w:val="28"/>
        </w:rPr>
        <w:t>у</w:t>
      </w:r>
      <w:r w:rsidRPr="001319F7">
        <w:rPr>
          <w:rFonts w:ascii="Times New Roman" w:eastAsia="Calibri" w:hAnsi="Times New Roman" w:cs="Times New Roman"/>
          <w:sz w:val="28"/>
          <w:szCs w:val="28"/>
        </w:rPr>
        <w:t xml:space="preserve"> состояния и загрязнения подземных вод, опасных экзогенных геологических процессов, подготовку информационных бюллетеней, сводок, сезонных прогнозов.</w:t>
      </w:r>
    </w:p>
    <w:p w:rsidR="003F019A" w:rsidRPr="001319F7" w:rsidRDefault="0048740E" w:rsidP="003F019A">
      <w:pPr>
        <w:spacing w:after="0" w:line="240" w:lineRule="auto"/>
        <w:ind w:firstLine="709"/>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Результаты работ по прогнозу землетрясений и государственному мониторингу состояния недр, выполненные в 2020 год</w:t>
      </w:r>
      <w:r w:rsidR="004B0016" w:rsidRPr="001319F7">
        <w:rPr>
          <w:rFonts w:ascii="Times New Roman" w:eastAsia="Calibri" w:hAnsi="Times New Roman" w:cs="Times New Roman"/>
          <w:sz w:val="28"/>
          <w:szCs w:val="28"/>
        </w:rPr>
        <w:t>у</w:t>
      </w:r>
      <w:r w:rsidRPr="001319F7">
        <w:rPr>
          <w:rFonts w:ascii="Times New Roman" w:eastAsia="Calibri" w:hAnsi="Times New Roman" w:cs="Times New Roman"/>
          <w:sz w:val="28"/>
          <w:szCs w:val="28"/>
        </w:rPr>
        <w:t>, размещаются на сайте Центра государственного мониторинга состояния недр ФГБУ «Гидроспецгеология» (</w:t>
      </w:r>
      <w:hyperlink r:id="rId8" w:history="1">
        <w:r w:rsidRPr="001319F7">
          <w:rPr>
            <w:rFonts w:ascii="Times New Roman" w:eastAsia="Calibri" w:hAnsi="Times New Roman" w:cs="Times New Roman"/>
            <w:sz w:val="28"/>
            <w:szCs w:val="28"/>
            <w:u w:val="single"/>
            <w:lang w:val="en-US"/>
          </w:rPr>
          <w:t>www</w:t>
        </w:r>
        <w:r w:rsidRPr="001319F7">
          <w:rPr>
            <w:rFonts w:ascii="Times New Roman" w:eastAsia="Calibri" w:hAnsi="Times New Roman" w:cs="Times New Roman"/>
            <w:sz w:val="28"/>
            <w:szCs w:val="28"/>
            <w:u w:val="single"/>
          </w:rPr>
          <w:t>.</w:t>
        </w:r>
        <w:r w:rsidRPr="001319F7">
          <w:rPr>
            <w:rFonts w:ascii="Times New Roman" w:eastAsia="Calibri" w:hAnsi="Times New Roman" w:cs="Times New Roman"/>
            <w:sz w:val="28"/>
            <w:szCs w:val="28"/>
            <w:u w:val="single"/>
            <w:lang w:val="en-US"/>
          </w:rPr>
          <w:t>geomonitoring</w:t>
        </w:r>
        <w:r w:rsidRPr="001319F7">
          <w:rPr>
            <w:rFonts w:ascii="Times New Roman" w:eastAsia="Calibri" w:hAnsi="Times New Roman" w:cs="Times New Roman"/>
            <w:sz w:val="28"/>
            <w:szCs w:val="28"/>
            <w:u w:val="single"/>
          </w:rPr>
          <w:t>.</w:t>
        </w:r>
        <w:r w:rsidRPr="001319F7">
          <w:rPr>
            <w:rFonts w:ascii="Times New Roman" w:eastAsia="Calibri" w:hAnsi="Times New Roman" w:cs="Times New Roman"/>
            <w:sz w:val="28"/>
            <w:szCs w:val="28"/>
            <w:u w:val="single"/>
            <w:lang w:val="en-US"/>
          </w:rPr>
          <w:t>ru</w:t>
        </w:r>
      </w:hyperlink>
      <w:r w:rsidRPr="001319F7">
        <w:rPr>
          <w:rFonts w:ascii="Times New Roman" w:eastAsia="Calibri" w:hAnsi="Times New Roman" w:cs="Times New Roman"/>
          <w:sz w:val="28"/>
          <w:szCs w:val="28"/>
        </w:rPr>
        <w:t>) и досту</w:t>
      </w:r>
      <w:r w:rsidR="003F019A" w:rsidRPr="001319F7">
        <w:rPr>
          <w:rFonts w:ascii="Times New Roman" w:eastAsia="Calibri" w:hAnsi="Times New Roman" w:cs="Times New Roman"/>
          <w:sz w:val="28"/>
          <w:szCs w:val="28"/>
        </w:rPr>
        <w:t>пны для просмотра и скачивания.</w:t>
      </w:r>
    </w:p>
    <w:p w:rsidR="00671008" w:rsidRPr="001319F7" w:rsidRDefault="0048740E" w:rsidP="003F019A">
      <w:pPr>
        <w:spacing w:after="0" w:line="240" w:lineRule="auto"/>
        <w:ind w:firstLine="709"/>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Про</w:t>
      </w:r>
      <w:r w:rsidR="004B0016" w:rsidRPr="001319F7">
        <w:rPr>
          <w:rFonts w:ascii="Times New Roman" w:eastAsia="Calibri" w:hAnsi="Times New Roman" w:cs="Times New Roman"/>
          <w:sz w:val="28"/>
          <w:szCs w:val="28"/>
        </w:rPr>
        <w:t>водилась</w:t>
      </w:r>
      <w:r w:rsidRPr="001319F7">
        <w:rPr>
          <w:rFonts w:ascii="Times New Roman" w:eastAsia="Calibri" w:hAnsi="Times New Roman" w:cs="Times New Roman"/>
          <w:sz w:val="28"/>
          <w:szCs w:val="28"/>
        </w:rPr>
        <w:t xml:space="preserve"> работ</w:t>
      </w:r>
      <w:r w:rsidR="004B0016"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 xml:space="preserve"> по рассмотрению и согласованию предложений органов исполнительной власти субъектов Российской Федерации об определении границ зон подтопления и сведений о границах таких зон.</w:t>
      </w:r>
    </w:p>
    <w:p w:rsidR="0048740E" w:rsidRPr="001319F7" w:rsidRDefault="0048740E" w:rsidP="0048740E">
      <w:pPr>
        <w:spacing w:after="0" w:line="240" w:lineRule="auto"/>
        <w:jc w:val="both"/>
        <w:rPr>
          <w:rFonts w:ascii="Times New Roman" w:eastAsia="Times New Roman" w:hAnsi="Times New Roman" w:cs="Times New Roman"/>
          <w:sz w:val="28"/>
          <w:szCs w:val="28"/>
          <w:lang w:eastAsia="ru-RU"/>
        </w:rPr>
      </w:pPr>
    </w:p>
    <w:p w:rsidR="00671008" w:rsidRPr="001319F7" w:rsidRDefault="00671008" w:rsidP="00671008">
      <w:pPr>
        <w:spacing w:after="0" w:line="240" w:lineRule="auto"/>
        <w:jc w:val="both"/>
        <w:rPr>
          <w:rFonts w:ascii="Times New Roman" w:hAnsi="Times New Roman" w:cs="Times New Roman"/>
          <w:b/>
          <w:i/>
          <w:sz w:val="28"/>
          <w:szCs w:val="28"/>
        </w:rPr>
      </w:pPr>
      <w:r w:rsidRPr="001319F7">
        <w:rPr>
          <w:rFonts w:ascii="Times New Roman" w:hAnsi="Times New Roman" w:cs="Times New Roman"/>
          <w:b/>
          <w:i/>
          <w:sz w:val="28"/>
          <w:szCs w:val="28"/>
        </w:rPr>
        <w:t>Цель 2. Обеспечение международно-правового оформления внешних границ континентального шельфа Российской Федера</w:t>
      </w:r>
      <w:r w:rsidR="00F70A2B" w:rsidRPr="001319F7">
        <w:rPr>
          <w:rFonts w:ascii="Times New Roman" w:hAnsi="Times New Roman" w:cs="Times New Roman"/>
          <w:b/>
          <w:i/>
          <w:sz w:val="28"/>
          <w:szCs w:val="28"/>
        </w:rPr>
        <w:t>ции в Северном Ледовитом океане</w:t>
      </w:r>
    </w:p>
    <w:p w:rsidR="00671008" w:rsidRPr="001319F7" w:rsidRDefault="00C22F50" w:rsidP="00C22F50">
      <w:pPr>
        <w:spacing w:after="0" w:line="240" w:lineRule="auto"/>
        <w:ind w:firstLine="708"/>
        <w:jc w:val="both"/>
        <w:rPr>
          <w:rFonts w:ascii="Times New Roman" w:hAnsi="Times New Roman" w:cs="Times New Roman"/>
          <w:b/>
          <w:sz w:val="28"/>
          <w:szCs w:val="28"/>
        </w:rPr>
      </w:pPr>
      <w:r w:rsidRPr="001319F7">
        <w:rPr>
          <w:rFonts w:ascii="TimesNewRomanPSMT" w:eastAsia="Times New Roman" w:hAnsi="TimesNewRomanPSMT" w:cs="Times New Roman"/>
          <w:sz w:val="28"/>
          <w:szCs w:val="28"/>
          <w:lang w:eastAsia="ru-RU"/>
        </w:rPr>
        <w:t>В феврале 2020 года состоялось рассмотрение заявки Российской</w:t>
      </w:r>
      <w:r w:rsidRPr="001319F7">
        <w:rPr>
          <w:rFonts w:ascii="TimesNewRomanPSMT" w:eastAsia="Times New Roman" w:hAnsi="TimesNewRomanPSMT" w:cs="Times New Roman"/>
          <w:sz w:val="28"/>
          <w:szCs w:val="28"/>
          <w:lang w:eastAsia="ru-RU"/>
        </w:rPr>
        <w:br/>
        <w:t>Федерации на 52 сессии Комиссии по границам континентального</w:t>
      </w:r>
      <w:r w:rsidRPr="001319F7">
        <w:rPr>
          <w:rFonts w:ascii="TimesNewRomanPSMT" w:eastAsia="Times New Roman" w:hAnsi="TimesNewRomanPSMT" w:cs="Times New Roman"/>
          <w:sz w:val="28"/>
          <w:szCs w:val="28"/>
          <w:lang w:eastAsia="ru-RU"/>
        </w:rPr>
        <w:br/>
        <w:t>шельфа (далее - Комиссия). В настоящее время ведется работа по</w:t>
      </w:r>
      <w:r w:rsidRPr="001319F7">
        <w:rPr>
          <w:rFonts w:ascii="TimesNewRomanPSMT" w:eastAsia="Times New Roman" w:hAnsi="TimesNewRomanPSMT" w:cs="Times New Roman"/>
          <w:sz w:val="28"/>
          <w:szCs w:val="28"/>
          <w:lang w:eastAsia="ru-RU"/>
        </w:rPr>
        <w:br/>
        <w:t>замечаниям и предложениям Подкомиссии. В связи с сложившейся</w:t>
      </w:r>
      <w:r w:rsidRPr="001319F7">
        <w:rPr>
          <w:rFonts w:ascii="TimesNewRomanPSMT" w:eastAsia="Times New Roman" w:hAnsi="TimesNewRomanPSMT" w:cs="Times New Roman"/>
          <w:sz w:val="28"/>
          <w:szCs w:val="28"/>
          <w:lang w:eastAsia="ru-RU"/>
        </w:rPr>
        <w:br/>
        <w:t>эпидемиологической ситуацией и в целях предупреждения</w:t>
      </w:r>
      <w:r w:rsidRPr="001319F7">
        <w:rPr>
          <w:rFonts w:ascii="TimesNewRomanPSMT" w:eastAsia="Times New Roman" w:hAnsi="TimesNewRomanPSMT" w:cs="Times New Roman"/>
          <w:sz w:val="28"/>
          <w:szCs w:val="28"/>
          <w:lang w:eastAsia="ru-RU"/>
        </w:rPr>
        <w:br/>
        <w:t>распространения COVID-19 председателем Комиссии было</w:t>
      </w:r>
      <w:r w:rsidRPr="001319F7">
        <w:rPr>
          <w:rFonts w:ascii="TimesNewRomanPSMT" w:eastAsia="Times New Roman" w:hAnsi="TimesNewRomanPSMT" w:cs="Times New Roman"/>
          <w:sz w:val="28"/>
          <w:szCs w:val="28"/>
          <w:lang w:eastAsia="ru-RU"/>
        </w:rPr>
        <w:br/>
        <w:t>принято решение 53 и 54 сессии в 2020 году не проводить.</w:t>
      </w:r>
    </w:p>
    <w:p w:rsidR="00AA564B" w:rsidRPr="001319F7" w:rsidRDefault="00AA564B" w:rsidP="00C22F50">
      <w:pPr>
        <w:pStyle w:val="a3"/>
        <w:spacing w:before="0" w:after="0"/>
        <w:ind w:left="0"/>
        <w:rPr>
          <w:b/>
          <w:sz w:val="28"/>
          <w:szCs w:val="28"/>
        </w:rPr>
      </w:pPr>
    </w:p>
    <w:p w:rsidR="00671008" w:rsidRPr="001319F7" w:rsidRDefault="00671008" w:rsidP="00671008">
      <w:pPr>
        <w:pStyle w:val="a3"/>
        <w:spacing w:after="0"/>
        <w:ind w:left="0"/>
        <w:rPr>
          <w:b/>
          <w:i/>
          <w:sz w:val="28"/>
          <w:szCs w:val="28"/>
        </w:rPr>
      </w:pPr>
      <w:r w:rsidRPr="001319F7">
        <w:rPr>
          <w:b/>
          <w:i/>
          <w:sz w:val="28"/>
          <w:szCs w:val="28"/>
        </w:rPr>
        <w:t>Цель 3. Обеспечение геополитических интересов Российской Федерации в Арктике, Антарктике и Мировом океане</w:t>
      </w:r>
    </w:p>
    <w:p w:rsidR="00671008" w:rsidRPr="001319F7" w:rsidRDefault="00671008" w:rsidP="00671008">
      <w:pPr>
        <w:spacing w:after="0" w:line="240" w:lineRule="auto"/>
        <w:rPr>
          <w:rFonts w:ascii="Times New Roman" w:hAnsi="Times New Roman" w:cs="Times New Roman"/>
          <w:b/>
          <w:sz w:val="28"/>
          <w:szCs w:val="28"/>
        </w:rPr>
      </w:pPr>
    </w:p>
    <w:p w:rsidR="005A3EE9" w:rsidRPr="001319F7" w:rsidRDefault="005A3EE9" w:rsidP="005A3EE9">
      <w:pPr>
        <w:spacing w:after="0" w:line="240" w:lineRule="auto"/>
        <w:ind w:firstLine="567"/>
        <w:jc w:val="both"/>
        <w:rPr>
          <w:rFonts w:ascii="Times New Roman" w:hAnsi="Times New Roman" w:cs="Times New Roman"/>
          <w:bCs/>
          <w:sz w:val="28"/>
          <w:szCs w:val="28"/>
        </w:rPr>
      </w:pPr>
      <w:r w:rsidRPr="001319F7">
        <w:rPr>
          <w:rFonts w:ascii="Times New Roman" w:hAnsi="Times New Roman" w:cs="Times New Roman"/>
          <w:bCs/>
          <w:sz w:val="28"/>
          <w:szCs w:val="28"/>
        </w:rPr>
        <w:t xml:space="preserve">В первом полугодии 2020 года в рамках 64-й Российской антарктической </w:t>
      </w:r>
      <w:r w:rsidRPr="001319F7">
        <w:rPr>
          <w:rFonts w:ascii="Times New Roman" w:hAnsi="Times New Roman" w:cs="Times New Roman"/>
          <w:sz w:val="28"/>
          <w:szCs w:val="28"/>
        </w:rPr>
        <w:t>экспедиции</w:t>
      </w:r>
      <w:r w:rsidRPr="001319F7">
        <w:rPr>
          <w:rFonts w:ascii="Times New Roman" w:hAnsi="Times New Roman" w:cs="Times New Roman"/>
          <w:bCs/>
          <w:sz w:val="28"/>
          <w:szCs w:val="28"/>
        </w:rPr>
        <w:t xml:space="preserve"> проведены:</w:t>
      </w:r>
    </w:p>
    <w:p w:rsidR="005A3EE9" w:rsidRPr="001319F7" w:rsidRDefault="005A3EE9" w:rsidP="005A3EE9">
      <w:pPr>
        <w:spacing w:after="0" w:line="240" w:lineRule="auto"/>
        <w:ind w:firstLine="567"/>
        <w:jc w:val="both"/>
        <w:rPr>
          <w:rFonts w:ascii="Times New Roman" w:eastAsia="Times New Roman" w:hAnsi="Times New Roman" w:cs="Times New Roman"/>
          <w:sz w:val="28"/>
          <w:szCs w:val="28"/>
          <w:lang w:eastAsia="ru-RU"/>
        </w:rPr>
      </w:pPr>
      <w:r w:rsidRPr="001319F7">
        <w:rPr>
          <w:rFonts w:ascii="Times New Roman" w:hAnsi="Times New Roman" w:cs="Times New Roman"/>
          <w:bCs/>
          <w:sz w:val="28"/>
          <w:szCs w:val="28"/>
        </w:rPr>
        <w:lastRenderedPageBreak/>
        <w:t xml:space="preserve">- </w:t>
      </w:r>
      <w:r w:rsidRPr="001319F7">
        <w:rPr>
          <w:rFonts w:ascii="Times New Roman" w:eastAsia="Times New Roman" w:hAnsi="Times New Roman" w:cs="Times New Roman"/>
          <w:sz w:val="28"/>
          <w:szCs w:val="28"/>
          <w:lang w:eastAsia="ru-RU"/>
        </w:rPr>
        <w:t>морские комплексные геофизические работы (сейсморазведка, многолучевое эхолотирование, магниторазведка, гравиразведка) в море Рисер-Ларсена;</w:t>
      </w:r>
    </w:p>
    <w:p w:rsidR="005A3EE9" w:rsidRPr="001319F7" w:rsidRDefault="005A3EE9" w:rsidP="005A3EE9">
      <w:pPr>
        <w:spacing w:after="0" w:line="240" w:lineRule="auto"/>
        <w:ind w:firstLine="567"/>
        <w:jc w:val="both"/>
        <w:rPr>
          <w:rFonts w:ascii="Times New Roman" w:eastAsia="Times New Roman" w:hAnsi="Times New Roman" w:cs="Times New Roman"/>
          <w:sz w:val="28"/>
          <w:szCs w:val="28"/>
          <w:lang w:eastAsia="ru-RU"/>
        </w:rPr>
      </w:pPr>
      <w:r w:rsidRPr="001319F7">
        <w:rPr>
          <w:rFonts w:ascii="Times New Roman" w:eastAsia="Times New Roman" w:hAnsi="Times New Roman" w:cs="Times New Roman"/>
          <w:sz w:val="28"/>
          <w:szCs w:val="28"/>
          <w:lang w:eastAsia="ru-RU"/>
        </w:rPr>
        <w:t xml:space="preserve">- полевые и камеральные геолого-геофизические работы в сухопутной части Антарктиды </w:t>
      </w:r>
      <w:r w:rsidR="00064396" w:rsidRPr="001319F7">
        <w:rPr>
          <w:rFonts w:ascii="Times New Roman" w:eastAsia="Times New Roman" w:hAnsi="Times New Roman" w:cs="Times New Roman"/>
          <w:sz w:val="28"/>
          <w:szCs w:val="28"/>
          <w:lang w:eastAsia="ru-RU"/>
        </w:rPr>
        <w:t>–</w:t>
      </w:r>
      <w:r w:rsidRPr="001319F7">
        <w:rPr>
          <w:rFonts w:ascii="Times New Roman" w:eastAsia="Times New Roman" w:hAnsi="Times New Roman" w:cs="Times New Roman"/>
          <w:sz w:val="28"/>
          <w:szCs w:val="28"/>
          <w:lang w:eastAsia="ru-RU"/>
        </w:rPr>
        <w:t xml:space="preserve"> в южной части оазиса Бангера и в юго-западной части Земли Королевы Мэри.</w:t>
      </w:r>
    </w:p>
    <w:p w:rsidR="005A3EE9" w:rsidRPr="001319F7" w:rsidRDefault="005A3EE9" w:rsidP="005A3EE9">
      <w:pPr>
        <w:spacing w:after="0" w:line="240" w:lineRule="auto"/>
        <w:ind w:firstLine="567"/>
        <w:jc w:val="both"/>
        <w:rPr>
          <w:rFonts w:ascii="Times New Roman" w:hAnsi="Times New Roman" w:cs="Times New Roman"/>
          <w:bCs/>
          <w:sz w:val="28"/>
          <w:szCs w:val="28"/>
        </w:rPr>
      </w:pPr>
      <w:r w:rsidRPr="001319F7">
        <w:rPr>
          <w:rFonts w:ascii="Times New Roman" w:eastAsia="Times New Roman" w:hAnsi="Times New Roman" w:cs="Times New Roman"/>
          <w:sz w:val="28"/>
          <w:szCs w:val="28"/>
          <w:lang w:eastAsia="ru-RU"/>
        </w:rPr>
        <w:t>Продолжены работы по с</w:t>
      </w:r>
      <w:r w:rsidRPr="001319F7">
        <w:rPr>
          <w:rFonts w:ascii="Times New Roman" w:hAnsi="Times New Roman" w:cs="Times New Roman"/>
          <w:bCs/>
          <w:sz w:val="28"/>
          <w:szCs w:val="28"/>
        </w:rPr>
        <w:t xml:space="preserve">озданию </w:t>
      </w:r>
      <w:r w:rsidRPr="001319F7">
        <w:rPr>
          <w:rFonts w:ascii="Times New Roman" w:hAnsi="Times New Roman" w:cs="Times New Roman"/>
          <w:sz w:val="28"/>
          <w:szCs w:val="28"/>
        </w:rPr>
        <w:t>сводных</w:t>
      </w:r>
      <w:r w:rsidRPr="001319F7">
        <w:rPr>
          <w:rFonts w:ascii="Times New Roman" w:hAnsi="Times New Roman" w:cs="Times New Roman"/>
          <w:bCs/>
          <w:sz w:val="28"/>
          <w:szCs w:val="28"/>
        </w:rPr>
        <w:t xml:space="preserve"> и обзорных карт геологического содержания масштаба 1:2 500 000 западного сектора Восточной Антарктиды (восточная часть Земли Королевы Мод).</w:t>
      </w:r>
    </w:p>
    <w:p w:rsidR="005A3EE9" w:rsidRPr="001319F7" w:rsidRDefault="005A3EE9" w:rsidP="005A3EE9">
      <w:pPr>
        <w:spacing w:after="0" w:line="240" w:lineRule="auto"/>
        <w:ind w:firstLine="567"/>
        <w:jc w:val="both"/>
        <w:rPr>
          <w:rFonts w:ascii="Times New Roman" w:hAnsi="Times New Roman" w:cs="Times New Roman"/>
          <w:bCs/>
          <w:sz w:val="28"/>
          <w:szCs w:val="28"/>
        </w:rPr>
      </w:pPr>
      <w:r w:rsidRPr="001319F7">
        <w:rPr>
          <w:rFonts w:ascii="Times New Roman" w:eastAsia="Times New Roman" w:hAnsi="Times New Roman" w:cs="Times New Roman"/>
          <w:sz w:val="28"/>
          <w:szCs w:val="28"/>
          <w:lang w:eastAsia="ru-RU"/>
        </w:rPr>
        <w:t>В соответствии со стратегией российского присутствия на архипелаге Шпицберген продолжено составление по результатам работ 2019 года</w:t>
      </w:r>
      <w:r w:rsidRPr="001319F7">
        <w:rPr>
          <w:rFonts w:ascii="Times New Roman" w:hAnsi="Times New Roman" w:cs="Times New Roman"/>
          <w:bCs/>
          <w:sz w:val="28"/>
          <w:szCs w:val="28"/>
        </w:rPr>
        <w:t xml:space="preserve"> геологической карты масштаба 1:100 000 на архипелаге Шпицберген – в пределах острова Западный Шпицберген в центральной части Земли Норденшельда, с оценкой минерагенического потенциала и среднемасштабной изученности архипелага Шпицберген.</w:t>
      </w:r>
    </w:p>
    <w:p w:rsidR="00A32C7C" w:rsidRPr="001319F7" w:rsidRDefault="00A32C7C" w:rsidP="004211A1">
      <w:pPr>
        <w:spacing w:after="0" w:line="240" w:lineRule="auto"/>
        <w:ind w:firstLine="709"/>
        <w:jc w:val="both"/>
        <w:rPr>
          <w:rFonts w:ascii="Times New Roman" w:hAnsi="Times New Roman" w:cs="Times New Roman"/>
          <w:sz w:val="28"/>
          <w:szCs w:val="28"/>
        </w:rPr>
      </w:pPr>
    </w:p>
    <w:p w:rsidR="00C11AAC" w:rsidRPr="001319F7" w:rsidRDefault="00D251BB" w:rsidP="007B7E86">
      <w:pPr>
        <w:pStyle w:val="a3"/>
        <w:spacing w:before="0" w:after="0"/>
        <w:ind w:left="0" w:firstLine="709"/>
        <w:jc w:val="center"/>
        <w:rPr>
          <w:b/>
          <w:color w:val="5F497A" w:themeColor="accent4" w:themeShade="BF"/>
          <w:sz w:val="28"/>
          <w:szCs w:val="28"/>
        </w:rPr>
      </w:pPr>
      <w:r w:rsidRPr="001319F7">
        <w:rPr>
          <w:b/>
          <w:color w:val="5F497A" w:themeColor="accent4" w:themeShade="BF"/>
          <w:sz w:val="28"/>
          <w:szCs w:val="28"/>
        </w:rPr>
        <w:t xml:space="preserve">ОРГАНИЗАЦИЯ РАБОТ ПО </w:t>
      </w:r>
      <w:r w:rsidR="00C11AAC" w:rsidRPr="001319F7">
        <w:rPr>
          <w:b/>
          <w:color w:val="5F497A" w:themeColor="accent4" w:themeShade="BF"/>
          <w:sz w:val="28"/>
          <w:szCs w:val="28"/>
        </w:rPr>
        <w:t>ВОСПРОИЗВОДСТВ</w:t>
      </w:r>
      <w:r w:rsidR="00845611" w:rsidRPr="001319F7">
        <w:rPr>
          <w:b/>
          <w:color w:val="5F497A" w:themeColor="accent4" w:themeShade="BF"/>
          <w:sz w:val="28"/>
          <w:szCs w:val="28"/>
        </w:rPr>
        <w:t>У</w:t>
      </w:r>
      <w:r w:rsidR="00C11AAC" w:rsidRPr="001319F7">
        <w:rPr>
          <w:b/>
          <w:color w:val="5F497A" w:themeColor="accent4" w:themeShade="BF"/>
          <w:sz w:val="28"/>
          <w:szCs w:val="28"/>
        </w:rPr>
        <w:t xml:space="preserve"> МИНЕРАЛЬНО-СЫРЬЕВОЙ БАЗЫ </w:t>
      </w:r>
      <w:r w:rsidRPr="001319F7">
        <w:rPr>
          <w:b/>
          <w:color w:val="5F497A" w:themeColor="accent4" w:themeShade="BF"/>
          <w:sz w:val="28"/>
          <w:szCs w:val="28"/>
        </w:rPr>
        <w:t>РОССИИ</w:t>
      </w:r>
    </w:p>
    <w:p w:rsidR="00B03A84" w:rsidRPr="001319F7" w:rsidRDefault="00B03A84" w:rsidP="007B0716">
      <w:pPr>
        <w:spacing w:after="0" w:line="240" w:lineRule="auto"/>
        <w:jc w:val="both"/>
        <w:rPr>
          <w:rFonts w:ascii="Times New Roman" w:hAnsi="Times New Roman" w:cs="Times New Roman"/>
          <w:b/>
          <w:color w:val="E36C0A" w:themeColor="accent6" w:themeShade="BF"/>
          <w:sz w:val="28"/>
          <w:szCs w:val="28"/>
        </w:rPr>
      </w:pPr>
    </w:p>
    <w:p w:rsidR="00EF5F06" w:rsidRPr="001319F7" w:rsidRDefault="00BA4751" w:rsidP="007B0716">
      <w:pPr>
        <w:spacing w:after="0" w:line="240" w:lineRule="auto"/>
        <w:jc w:val="both"/>
        <w:rPr>
          <w:rFonts w:ascii="Times New Roman" w:hAnsi="Times New Roman" w:cs="Times New Roman"/>
          <w:b/>
          <w:i/>
          <w:color w:val="E36C0A" w:themeColor="accent6" w:themeShade="BF"/>
          <w:sz w:val="28"/>
          <w:szCs w:val="28"/>
        </w:rPr>
      </w:pPr>
      <w:r w:rsidRPr="001319F7">
        <w:rPr>
          <w:rFonts w:ascii="Times New Roman" w:hAnsi="Times New Roman" w:cs="Times New Roman"/>
          <w:b/>
          <w:i/>
          <w:color w:val="E36C0A" w:themeColor="accent6" w:themeShade="BF"/>
          <w:sz w:val="28"/>
          <w:szCs w:val="28"/>
        </w:rPr>
        <w:t>Цель</w:t>
      </w:r>
      <w:r w:rsidR="003D307F" w:rsidRPr="001319F7">
        <w:rPr>
          <w:rFonts w:ascii="Times New Roman" w:hAnsi="Times New Roman" w:cs="Times New Roman"/>
          <w:b/>
          <w:i/>
          <w:color w:val="E36C0A" w:themeColor="accent6" w:themeShade="BF"/>
          <w:sz w:val="28"/>
          <w:szCs w:val="28"/>
        </w:rPr>
        <w:t xml:space="preserve"> 1</w:t>
      </w:r>
      <w:r w:rsidRPr="001319F7">
        <w:rPr>
          <w:rFonts w:ascii="Times New Roman" w:hAnsi="Times New Roman" w:cs="Times New Roman"/>
          <w:b/>
          <w:i/>
          <w:color w:val="E36C0A" w:themeColor="accent6" w:themeShade="BF"/>
          <w:sz w:val="28"/>
          <w:szCs w:val="28"/>
        </w:rPr>
        <w:t>.</w:t>
      </w:r>
      <w:r w:rsidR="00AF4909" w:rsidRPr="001319F7">
        <w:rPr>
          <w:rFonts w:ascii="Times New Roman" w:hAnsi="Times New Roman" w:cs="Times New Roman"/>
          <w:b/>
          <w:i/>
          <w:color w:val="E36C0A" w:themeColor="accent6" w:themeShade="BF"/>
          <w:sz w:val="28"/>
          <w:szCs w:val="28"/>
        </w:rPr>
        <w:t xml:space="preserve"> </w:t>
      </w:r>
      <w:r w:rsidR="00D251BB" w:rsidRPr="001319F7">
        <w:rPr>
          <w:rFonts w:ascii="Times New Roman" w:hAnsi="Times New Roman" w:cs="Times New Roman"/>
          <w:b/>
          <w:i/>
          <w:color w:val="E36C0A" w:themeColor="accent6" w:themeShade="BF"/>
          <w:sz w:val="28"/>
          <w:szCs w:val="28"/>
        </w:rPr>
        <w:t>Воспроизводство минерально-сырьевой базы углеводородного сырья (УВС)</w:t>
      </w:r>
      <w:r w:rsidR="00672305" w:rsidRPr="001319F7">
        <w:rPr>
          <w:rFonts w:ascii="Times New Roman" w:hAnsi="Times New Roman" w:cs="Times New Roman"/>
          <w:b/>
          <w:i/>
          <w:color w:val="E36C0A" w:themeColor="accent6" w:themeShade="BF"/>
          <w:sz w:val="28"/>
          <w:szCs w:val="28"/>
        </w:rPr>
        <w:t xml:space="preserve"> </w:t>
      </w:r>
      <w:r w:rsidR="00F41EB7" w:rsidRPr="001319F7">
        <w:rPr>
          <w:rFonts w:ascii="Times New Roman" w:hAnsi="Times New Roman" w:cs="Times New Roman"/>
          <w:b/>
          <w:i/>
          <w:color w:val="E36C0A" w:themeColor="accent6" w:themeShade="BF"/>
          <w:sz w:val="28"/>
          <w:szCs w:val="28"/>
        </w:rPr>
        <w:t>и подземных вод (ПВ)</w:t>
      </w:r>
    </w:p>
    <w:p w:rsidR="00B03A84" w:rsidRPr="001319F7" w:rsidRDefault="00B03A84" w:rsidP="007B0716">
      <w:pPr>
        <w:spacing w:after="0" w:line="240" w:lineRule="auto"/>
        <w:jc w:val="both"/>
        <w:rPr>
          <w:rFonts w:ascii="Times New Roman" w:hAnsi="Times New Roman" w:cs="Times New Roman"/>
          <w:b/>
          <w:color w:val="E36C0A" w:themeColor="accent6" w:themeShade="BF"/>
          <w:sz w:val="28"/>
          <w:szCs w:val="28"/>
        </w:rPr>
      </w:pPr>
    </w:p>
    <w:p w:rsidR="00102657" w:rsidRPr="001319F7" w:rsidRDefault="00C57289" w:rsidP="00491164">
      <w:pPr>
        <w:autoSpaceDE w:val="0"/>
        <w:autoSpaceDN w:val="0"/>
        <w:spacing w:after="120" w:line="240" w:lineRule="auto"/>
        <w:ind w:firstLine="709"/>
        <w:jc w:val="both"/>
        <w:rPr>
          <w:rFonts w:ascii="Times New Roman" w:hAnsi="Times New Roman" w:cs="Times New Roman"/>
          <w:b/>
          <w:i/>
          <w:sz w:val="28"/>
          <w:szCs w:val="28"/>
        </w:rPr>
      </w:pPr>
      <w:r w:rsidRPr="001319F7">
        <w:rPr>
          <w:rFonts w:ascii="Times New Roman" w:hAnsi="Times New Roman" w:cs="Times New Roman"/>
          <w:b/>
          <w:i/>
          <w:sz w:val="28"/>
          <w:szCs w:val="28"/>
        </w:rPr>
        <w:t xml:space="preserve">ВМСБ </w:t>
      </w:r>
      <w:r w:rsidR="00102657" w:rsidRPr="001319F7">
        <w:rPr>
          <w:rFonts w:ascii="Times New Roman" w:hAnsi="Times New Roman" w:cs="Times New Roman"/>
          <w:b/>
          <w:i/>
          <w:sz w:val="28"/>
          <w:szCs w:val="28"/>
        </w:rPr>
        <w:t>УВС</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Геологоразведочные работы на нефть и газ за счет средств федерального бюджета проводились в 2020 году в рамках Государственной программы «Воспроизводство и использование природных ресурсов» (ГП ВИПР) с целью уточнения геологического строения перспективных территорий нераспределенного фонда недр, локализации прогнозных ресурсов нефти и газа, подготовки лицензионных участков для выставления их на аукционы и последующего проведения поисково-разведочных работ силами недропользователей. Общий объем бюджетного финансирования составил 13,4 млрд руб. (с учетом неисполненных обязательств 2019 г.). Геологоразведочные работы за счет средств федерального бюджета проводились по 46 объектам. Исследованиями были охвачены территории всех федеральных округов, за исключением Центрального, и практически все нефтегазоносные провинции России, а также акватории арктических и дальневосточных морей.</w:t>
      </w:r>
    </w:p>
    <w:p w:rsidR="00B315F9" w:rsidRPr="001319F7" w:rsidRDefault="00B315F9" w:rsidP="00B315F9">
      <w:pPr>
        <w:autoSpaceDE w:val="0"/>
        <w:autoSpaceDN w:val="0"/>
        <w:adjustRightInd w:val="0"/>
        <w:spacing w:after="0" w:line="240" w:lineRule="auto"/>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Наибольшее количество объектов отрабатывалось в Сибирском (12), Дальневосточном (9), Уральском (8) ФО и на континентальном шельфе РФ (6). Работы также велись в Приволжском (4), Северо-Кавказском (4), Северо-Западном (2) и Южном (1) ФО. Объемы параметрического бурения в 2020 году составили 3270 м. Объемы сейсмопрофилирования 2D составили в 2020 году 23,091 тыс.пог.км.</w:t>
      </w:r>
    </w:p>
    <w:p w:rsidR="00B315F9" w:rsidRPr="001319F7" w:rsidRDefault="00B315F9" w:rsidP="00B315F9">
      <w:pPr>
        <w:autoSpaceDE w:val="0"/>
        <w:autoSpaceDN w:val="0"/>
        <w:adjustRightInd w:val="0"/>
        <w:spacing w:after="0" w:line="240" w:lineRule="auto"/>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В целом, по результатам геологоразведочных работ 2020 года за счет средств федерального бюджета на территории Российской Федерации локализованы ресурсы углеводородного сырья категории DЛ в объеме 5 989 млн т у.т.</w:t>
      </w:r>
    </w:p>
    <w:p w:rsidR="00B315F9" w:rsidRPr="001319F7" w:rsidRDefault="00B315F9" w:rsidP="00B315F9">
      <w:pPr>
        <w:autoSpaceDE w:val="0"/>
        <w:autoSpaceDN w:val="0"/>
        <w:adjustRightInd w:val="0"/>
        <w:spacing w:after="0" w:line="240" w:lineRule="auto"/>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lastRenderedPageBreak/>
        <w:t>Прирост запасов в 2020 году по результатам геологоразведочных работ по сумме всех категорий запасов (АВ1С1+В2С2) составил: нефть+конденсат – 1 576 млн т; в том числе по категории АВ1С1 – 1 039 млн т, В2С2 – 537 млн т; газ свободный+газ газовых шапок) – 2 045 млрд м3, в том числе по категориям АВ1С1 – 747 млрд м3, В2С2 – 1 298 млрд м3.</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Основной прирост запасов нефти был по лучен по результатам разведки Приобского нефтяного месторождения, расположенного в Ханты-Мансийском автономном округе (прирост запасов по категории АВ1С1 составил 318 млн т) и Пайяхского месторождения в Красноярском крае (прирост запасов по категории С1 составил 154 млн т).</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Основной прирост запасов газа был получен по результатам разведки Ленинградского газоконденсатного месторождения на шельфе Карского моря (224 млрд м3 газа по категории</w:t>
      </w:r>
    </w:p>
    <w:p w:rsidR="00B315F9" w:rsidRPr="001319F7" w:rsidRDefault="00B315F9" w:rsidP="00B315F9">
      <w:pPr>
        <w:autoSpaceDE w:val="0"/>
        <w:autoSpaceDN w:val="0"/>
        <w:adjustRightInd w:val="0"/>
        <w:spacing w:after="0" w:line="240" w:lineRule="auto"/>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С1); Песцового нефтегазоконденсатного месторождения в Ямало-Ненецком автономном округе (49 млрд м3 газа по категории С1); Ближненовопортовского газового месторождения в Ямало-Ненецком автономном округе (29 млрд м3 по категории С1).</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В 2020 году было открыто 49 месторождений углеводородного сырья. Наиболее важным открытием стало уникальное по запасам нефти Западно-Иркинское месторождение с извлекаемыми запасами нефти по сумме категорий С1+С2 – 511 млн т, расположенное в Красноярском крае. Значимыми открытиями 2020 года также стали: </w:t>
      </w:r>
      <w:r w:rsidRPr="001319F7">
        <w:rPr>
          <w:rFonts w:ascii="Times New Roman" w:eastAsia="Calibri" w:hAnsi="Times New Roman" w:cs="Times New Roman"/>
          <w:color w:val="000000"/>
          <w:sz w:val="28"/>
          <w:szCs w:val="28"/>
        </w:rPr>
        <w:t>уникальное по запасам газовое месторождение им. Маршала Жукова на шельфе Карского моря с извлекаемыми запасам газа по категориям С1+С2 – 800 млрд м3; уникальное газоконденсатное месторождение им. Маршала Рокоссовского на шельфе Карского моря с извлекаемыми запасами газа по категориям С1+С2 – 514 млрд м3; крупное по запасам газа месторождение 75 лет Победы, оценка извлекаемых запасов свободного газа которого составляет по категориям С1+С2 – 202 млрд м3. Месторождение расположено в юго-западной части Карского моря, в 5 км от северо-западного побережья полуострова Ямал; газоконденсатное месторождение имени И.Н. Кульбертинова с извлекаемыми запасами газа по категориям С1+С2 – 75,6 млрд м3</w:t>
      </w:r>
    </w:p>
    <w:p w:rsidR="00B315F9" w:rsidRPr="001319F7" w:rsidRDefault="00B315F9" w:rsidP="00B315F9">
      <w:pPr>
        <w:spacing w:after="0" w:line="240" w:lineRule="auto"/>
        <w:ind w:firstLine="709"/>
        <w:jc w:val="both"/>
        <w:rPr>
          <w:rFonts w:ascii="Times New Roman" w:eastAsia="Calibri" w:hAnsi="Times New Roman" w:cs="Times New Roman"/>
          <w:sz w:val="28"/>
          <w:szCs w:val="28"/>
        </w:rPr>
      </w:pPr>
    </w:p>
    <w:p w:rsidR="00B315F9" w:rsidRPr="001319F7" w:rsidRDefault="00B315F9" w:rsidP="00B315F9">
      <w:pPr>
        <w:spacing w:after="0" w:line="240" w:lineRule="auto"/>
        <w:ind w:firstLine="709"/>
        <w:jc w:val="both"/>
        <w:rPr>
          <w:rFonts w:ascii="Times New Roman" w:eastAsia="Calibri" w:hAnsi="Times New Roman" w:cs="Times New Roman"/>
          <w:b/>
          <w:i/>
          <w:sz w:val="28"/>
          <w:szCs w:val="28"/>
        </w:rPr>
      </w:pPr>
      <w:r w:rsidRPr="001319F7">
        <w:rPr>
          <w:rFonts w:ascii="Times New Roman" w:eastAsia="Calibri" w:hAnsi="Times New Roman" w:cs="Times New Roman"/>
          <w:b/>
          <w:i/>
          <w:sz w:val="28"/>
          <w:szCs w:val="28"/>
        </w:rPr>
        <w:t>ВМСБ ПВ</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319F7">
        <w:rPr>
          <w:rFonts w:ascii="Times New Roman" w:eastAsia="Calibri" w:hAnsi="Times New Roman" w:cs="Times New Roman"/>
          <w:color w:val="000000"/>
          <w:sz w:val="28"/>
          <w:szCs w:val="28"/>
        </w:rPr>
        <w:t>В 2020 году геологоразведочные работы по обеспечению воспроизводства ресурсной базы подземных вод за счет средств федерального бюджета проводились на 14 объектах, из которых по шести объектам были завершены, и по восьми – переходят на 2021 год. Фактические затраты на производство работ в 2020 году составили 227,7 млн руб.</w:t>
      </w:r>
    </w:p>
    <w:p w:rsidR="00B315F9" w:rsidRPr="001319F7" w:rsidRDefault="00B315F9" w:rsidP="00B315F9">
      <w:pPr>
        <w:autoSpaceDE w:val="0"/>
        <w:autoSpaceDN w:val="0"/>
        <w:adjustRightInd w:val="0"/>
        <w:spacing w:after="0" w:line="240" w:lineRule="auto"/>
        <w:jc w:val="both"/>
        <w:rPr>
          <w:rFonts w:ascii="Times New Roman" w:eastAsia="Calibri" w:hAnsi="Times New Roman" w:cs="Times New Roman"/>
          <w:color w:val="000000"/>
          <w:sz w:val="28"/>
          <w:szCs w:val="28"/>
        </w:rPr>
      </w:pPr>
      <w:r w:rsidRPr="001319F7">
        <w:rPr>
          <w:rFonts w:ascii="Times New Roman" w:eastAsia="Calibri" w:hAnsi="Times New Roman" w:cs="Times New Roman"/>
          <w:color w:val="000000"/>
          <w:sz w:val="28"/>
          <w:szCs w:val="28"/>
        </w:rPr>
        <w:t xml:space="preserve">Основными задачами ГРР по воспроизводству ресурсной базы питьевых подземных вод на территории Российской Федерации в 2020 году являлись: поиски и оценка подземных вод для питьевого и хозяйственно-бытового водоснабжения населенных пунктов в районах с недостаточным водообеспечением; обоснование резервного водоснабжения городов, не имеющих действующих защищенных источников обеспечения населения питьевой водой и разведанных месторождений подземных вод, на период чрезвычайных ситуаций; оценка состояния </w:t>
      </w:r>
      <w:r w:rsidRPr="001319F7">
        <w:rPr>
          <w:rFonts w:ascii="Times New Roman" w:eastAsia="Calibri" w:hAnsi="Times New Roman" w:cs="Times New Roman"/>
          <w:color w:val="000000"/>
          <w:sz w:val="28"/>
          <w:szCs w:val="28"/>
        </w:rPr>
        <w:lastRenderedPageBreak/>
        <w:t>месторождений и запасов подземных вод в нераспределенном фонде недр для их приведения в соответствие с современным законодательством; обеспечение охраны подземных вод от загрязнения и истощения путем ликвидации гидрогеологических скважин, пробуренных при проведении геологоразведочных работ.</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319F7">
        <w:rPr>
          <w:rFonts w:ascii="Times New Roman" w:eastAsia="Calibri" w:hAnsi="Times New Roman" w:cs="Times New Roman"/>
          <w:color w:val="000000"/>
          <w:sz w:val="28"/>
          <w:szCs w:val="28"/>
        </w:rPr>
        <w:t xml:space="preserve">ГРР с целью поисков и оценки подземных вод для питьевого и хозяйственно-бытового водоснабжения населенных пунктов в районах с недостаточным водообеспечением, в том числе с целью резервного водоснабжения на случай ЧС, проводились по 11 объектам, из которых 6 объектов расположены на Дальнем Востоке (два – на территории Республики Саха (Якутия), два – на территории Приволжского ФО и по одному объекту в Центральном, Северо-Западном и Сибирском федеральных округах. </w:t>
      </w:r>
      <w:r w:rsidRPr="001319F7">
        <w:rPr>
          <w:rFonts w:ascii="Times New Roman" w:eastAsia="Calibri" w:hAnsi="Times New Roman" w:cs="Times New Roman"/>
          <w:sz w:val="28"/>
          <w:szCs w:val="28"/>
        </w:rPr>
        <w:t>В результате завершенных поисково-оценочных работ получен прирост запасов</w:t>
      </w:r>
      <w:r w:rsidRPr="001319F7">
        <w:rPr>
          <w:rFonts w:ascii="Times New Roman" w:eastAsia="Calibri" w:hAnsi="Times New Roman" w:cs="Times New Roman"/>
          <w:color w:val="000000"/>
          <w:sz w:val="28"/>
          <w:szCs w:val="28"/>
        </w:rPr>
        <w:t xml:space="preserve"> </w:t>
      </w:r>
      <w:r w:rsidRPr="001319F7">
        <w:rPr>
          <w:rFonts w:ascii="Times New Roman" w:eastAsia="Calibri" w:hAnsi="Times New Roman" w:cs="Times New Roman"/>
          <w:sz w:val="28"/>
          <w:szCs w:val="28"/>
        </w:rPr>
        <w:t>питьевых подземных вод в количестве</w:t>
      </w:r>
      <w:r w:rsidRPr="001319F7">
        <w:rPr>
          <w:rFonts w:ascii="Times New Roman" w:eastAsia="Calibri" w:hAnsi="Times New Roman" w:cs="Times New Roman"/>
          <w:color w:val="000000"/>
          <w:sz w:val="28"/>
          <w:szCs w:val="28"/>
        </w:rPr>
        <w:t xml:space="preserve"> </w:t>
      </w:r>
      <w:r w:rsidRPr="001319F7">
        <w:rPr>
          <w:rFonts w:ascii="Times New Roman" w:eastAsia="Calibri" w:hAnsi="Times New Roman" w:cs="Times New Roman"/>
          <w:sz w:val="28"/>
          <w:szCs w:val="28"/>
        </w:rPr>
        <w:t>25,8 тыс.куб. метров в сутки для водоснабжения городов Пошехонье Ярославской</w:t>
      </w:r>
      <w:r w:rsidRPr="001319F7">
        <w:rPr>
          <w:rFonts w:ascii="Times New Roman" w:eastAsia="Calibri" w:hAnsi="Times New Roman" w:cs="Times New Roman"/>
          <w:color w:val="000000"/>
          <w:sz w:val="28"/>
          <w:szCs w:val="28"/>
        </w:rPr>
        <w:t xml:space="preserve"> </w:t>
      </w:r>
      <w:r w:rsidRPr="001319F7">
        <w:rPr>
          <w:rFonts w:ascii="Times New Roman" w:eastAsia="Calibri" w:hAnsi="Times New Roman" w:cs="Times New Roman"/>
          <w:sz w:val="28"/>
          <w:szCs w:val="28"/>
        </w:rPr>
        <w:t>области, Якутска, Большой Камень Приморского края. Поисковые работы для</w:t>
      </w:r>
      <w:r w:rsidRPr="001319F7">
        <w:rPr>
          <w:rFonts w:ascii="Times New Roman" w:eastAsia="Calibri" w:hAnsi="Times New Roman" w:cs="Times New Roman"/>
          <w:color w:val="000000"/>
          <w:sz w:val="28"/>
          <w:szCs w:val="28"/>
        </w:rPr>
        <w:t xml:space="preserve"> </w:t>
      </w:r>
      <w:r w:rsidRPr="001319F7">
        <w:rPr>
          <w:rFonts w:ascii="Times New Roman" w:eastAsia="Calibri" w:hAnsi="Times New Roman" w:cs="Times New Roman"/>
          <w:sz w:val="28"/>
          <w:szCs w:val="28"/>
        </w:rPr>
        <w:t>обеспечения резервного водоснабжения</w:t>
      </w:r>
      <w:r w:rsidRPr="001319F7">
        <w:rPr>
          <w:rFonts w:ascii="Times New Roman" w:eastAsia="Calibri" w:hAnsi="Times New Roman" w:cs="Times New Roman"/>
          <w:color w:val="000000"/>
          <w:sz w:val="28"/>
          <w:szCs w:val="28"/>
        </w:rPr>
        <w:t xml:space="preserve"> </w:t>
      </w:r>
      <w:r w:rsidRPr="001319F7">
        <w:rPr>
          <w:rFonts w:ascii="Times New Roman" w:eastAsia="Calibri" w:hAnsi="Times New Roman" w:cs="Times New Roman"/>
          <w:sz w:val="28"/>
          <w:szCs w:val="28"/>
        </w:rPr>
        <w:t>населения на случай чрезвычайных ситуаций в Сахалинской области будут продолжены в 2021 г.</w:t>
      </w:r>
    </w:p>
    <w:p w:rsidR="00B315F9" w:rsidRPr="001319F7"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В 2020 году были завершены работы по оценке современного состояния месторождений и запасов подземных вод в нераспределенном фонде недр на территории Чукотского автономного округа и Камчатского края. Основной целью работ была инвентаризация месторождений нераспределенного фонда недр, оценка возможности их освоения или списания с государственного баланса запасов в случае непригодности для использования.</w:t>
      </w:r>
    </w:p>
    <w:p w:rsidR="00B315F9" w:rsidRPr="00B315F9" w:rsidRDefault="00B315F9" w:rsidP="00B315F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С целью обеспечения охраны подземных вод от загрязнения и истощения на территории Центрального ФО начаты работы по объекту «Ликвидация гидрогеологических скважин, пробуренных при проведении геологоразведочных работ на подземные воды на территориях Ивановской, Костромской, Рязанской, Тамбовской, Тверской, Тульской, Ярославской областей Центрального федерального округа».</w:t>
      </w:r>
    </w:p>
    <w:p w:rsidR="002568CE" w:rsidRPr="00A66068" w:rsidRDefault="002568CE" w:rsidP="004F0AC4">
      <w:pPr>
        <w:spacing w:after="0" w:line="240" w:lineRule="auto"/>
        <w:rPr>
          <w:rFonts w:ascii="Times New Roman" w:hAnsi="Times New Roman" w:cs="Times New Roman"/>
          <w:b/>
          <w:i/>
          <w:color w:val="E36C0A" w:themeColor="accent6" w:themeShade="BF"/>
          <w:sz w:val="28"/>
          <w:szCs w:val="28"/>
        </w:rPr>
      </w:pPr>
    </w:p>
    <w:p w:rsidR="00C42DD9" w:rsidRPr="00A66068" w:rsidRDefault="00BA4751" w:rsidP="004F0AC4">
      <w:pPr>
        <w:spacing w:after="0" w:line="240" w:lineRule="auto"/>
        <w:rPr>
          <w:rFonts w:ascii="Times New Roman" w:hAnsi="Times New Roman" w:cs="Times New Roman"/>
          <w:b/>
          <w:i/>
          <w:color w:val="E36C0A" w:themeColor="accent6" w:themeShade="BF"/>
          <w:sz w:val="28"/>
          <w:szCs w:val="28"/>
        </w:rPr>
      </w:pPr>
      <w:r w:rsidRPr="00A66068">
        <w:rPr>
          <w:rFonts w:ascii="Times New Roman" w:hAnsi="Times New Roman" w:cs="Times New Roman"/>
          <w:b/>
          <w:i/>
          <w:color w:val="E36C0A" w:themeColor="accent6" w:themeShade="BF"/>
          <w:sz w:val="28"/>
          <w:szCs w:val="28"/>
        </w:rPr>
        <w:t>Цель</w:t>
      </w:r>
      <w:r w:rsidR="008E401C" w:rsidRPr="00A66068">
        <w:rPr>
          <w:rFonts w:ascii="Times New Roman" w:hAnsi="Times New Roman" w:cs="Times New Roman"/>
          <w:b/>
          <w:i/>
          <w:color w:val="E36C0A" w:themeColor="accent6" w:themeShade="BF"/>
          <w:sz w:val="28"/>
          <w:szCs w:val="28"/>
        </w:rPr>
        <w:t xml:space="preserve"> </w:t>
      </w:r>
      <w:r w:rsidR="003D307F" w:rsidRPr="00A66068">
        <w:rPr>
          <w:rFonts w:ascii="Times New Roman" w:hAnsi="Times New Roman" w:cs="Times New Roman"/>
          <w:b/>
          <w:i/>
          <w:color w:val="E36C0A" w:themeColor="accent6" w:themeShade="BF"/>
          <w:sz w:val="28"/>
          <w:szCs w:val="28"/>
        </w:rPr>
        <w:t>2</w:t>
      </w:r>
      <w:r w:rsidRPr="00A66068">
        <w:rPr>
          <w:rFonts w:ascii="Times New Roman" w:hAnsi="Times New Roman" w:cs="Times New Roman"/>
          <w:b/>
          <w:i/>
          <w:color w:val="E36C0A" w:themeColor="accent6" w:themeShade="BF"/>
          <w:sz w:val="28"/>
          <w:szCs w:val="28"/>
        </w:rPr>
        <w:t>.</w:t>
      </w:r>
      <w:r w:rsidR="00AD219B" w:rsidRPr="00A66068">
        <w:rPr>
          <w:rFonts w:ascii="Times New Roman" w:hAnsi="Times New Roman" w:cs="Times New Roman"/>
          <w:b/>
          <w:i/>
          <w:color w:val="E36C0A" w:themeColor="accent6" w:themeShade="BF"/>
          <w:sz w:val="28"/>
          <w:szCs w:val="28"/>
        </w:rPr>
        <w:t xml:space="preserve"> </w:t>
      </w:r>
      <w:r w:rsidR="00D251BB" w:rsidRPr="00A66068">
        <w:rPr>
          <w:rFonts w:ascii="Times New Roman" w:hAnsi="Times New Roman" w:cs="Times New Roman"/>
          <w:b/>
          <w:i/>
          <w:color w:val="E36C0A" w:themeColor="accent6" w:themeShade="BF"/>
          <w:sz w:val="28"/>
          <w:szCs w:val="28"/>
        </w:rPr>
        <w:t>Воспроизводство минерально-сырьевой базы твердых полезных ископаемых (ТПИ)</w:t>
      </w:r>
    </w:p>
    <w:p w:rsidR="00AC26AF" w:rsidRPr="00A66068" w:rsidRDefault="00AC26AF" w:rsidP="004F0AC4">
      <w:pPr>
        <w:spacing w:after="0" w:line="240" w:lineRule="auto"/>
        <w:rPr>
          <w:rFonts w:ascii="Times New Roman" w:hAnsi="Times New Roman" w:cs="Times New Roman"/>
          <w:b/>
          <w:color w:val="E36C0A" w:themeColor="accent6" w:themeShade="BF"/>
          <w:sz w:val="28"/>
          <w:szCs w:val="28"/>
        </w:rPr>
      </w:pP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Затраты федерального бюджета на геологоразведочные работы на твердые полезные ископаемые в 2020 году составили 5 607,4 млн. руб., в том числе на геологическое изучение и оценку минерально-сырьевой базы Мирового океана 537,3 млн. руб.</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Работы проводились на 76 объектах, в том числе на 9 объектах по контрактам с МОМД по изучению полезных ископаемых дна Мирового океана. В 2020 году работы завершены на 51 объекте.</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В 2020 году по результатам геологоразведочных работ за счет средств федерального бюджета получен прирост прогнозных ресурсов категории Р1+Р2: </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 - золото – 241,2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 - медь – 684 тыс.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 - свинец – 220 тыс.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lastRenderedPageBreak/>
        <w:t xml:space="preserve"> - цинк – 1 265,7 тыс.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 - уголь – 520,7млн.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В рамках исполнения обязательств по международным контрактам, заключенным Российской Федерацией с Международным органом по морскому дну, продолжались геологоразведочные работы в трех российских разведочных районах Мирового океана: на железомарганцевые конкреции (ЖМК) рудной провинции Кларион-Клиппертон в Тихом океане; на глубоководные полиметаллические сульфиды (ГПС) Срединно-Атлантического хребта; кобальтоносные железомарганцевые корки (КМК) Магеллановых гор в Тихом океане.</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По результатам геологоразведочных работ в 2020 году получен прирост прогнозных ресурсов кобальтоносных железомарганцевых корок (КМК) по категории Р</w:t>
      </w:r>
      <w:r w:rsidRPr="003A222D">
        <w:rPr>
          <w:rFonts w:ascii="Times New Roman" w:eastAsia="Calibri" w:hAnsi="Times New Roman" w:cs="Times New Roman"/>
          <w:sz w:val="28"/>
          <w:szCs w:val="28"/>
          <w:vertAlign w:val="subscript"/>
        </w:rPr>
        <w:t>1</w:t>
      </w:r>
      <w:r w:rsidRPr="003A222D">
        <w:rPr>
          <w:rFonts w:ascii="Times New Roman" w:eastAsia="Calibri" w:hAnsi="Times New Roman" w:cs="Times New Roman"/>
          <w:sz w:val="28"/>
          <w:szCs w:val="28"/>
        </w:rPr>
        <w:t xml:space="preserve"> в объеме 42,95 млн т. В ходе проведения морских работ в Атлантике открыто два новых сульфидных рудных поля.</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Инвестиции недропользователей в геологоразведочные работы на твердые полезные ископаемые в 2020 году по предварительным данным составили 43 млрд руб. (план – 57,3 млрд руб.), что на 3% превышает затраты недропользователей в 2019 году.</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xml:space="preserve">Практически все затраты недропользователей направлены на воспроизводство высоколиквидных видов сырья на Дальнем Востоке. Геологоразведочными работами за счет собственных средств недропользователей впервые на Государственный баланс поставлены запасы 157 месторождений твердых полезных ископаемых, в т.ч.: </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золото – 111 (из них россыпные – 99);</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неметаллические полезные ископаемые – 30;</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уголь – 7;</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цветные металлы – 4;</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железные руды – 4;</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платиноиды – 1.</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Наиболее значимыми открытиями являются:</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Токкинское (Саха Якутия) с запасами: золото – 23,5 т, серебро – 13.1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Тэутеджак (Магаданская обл.) с запасами: золото – 16,6 т, серебро – 12.2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Кондуякское (Красноярский край) с запасами: золото – 15,6 т, серебро – 2,8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Кундуми (Хабаровский край) с запасами золота - 14,5 т, серебра – 29,7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pacing w:val="-4"/>
          <w:sz w:val="28"/>
          <w:szCs w:val="28"/>
        </w:rPr>
        <w:t>- участок Березовский Центральный (Кемеровская обл.) с запасами угля – 32,1 млн т</w:t>
      </w:r>
      <w:r w:rsidRPr="003A222D">
        <w:rPr>
          <w:rFonts w:ascii="Times New Roman" w:eastAsia="Calibri" w:hAnsi="Times New Roman" w:cs="Times New Roman"/>
          <w:sz w:val="28"/>
          <w:szCs w:val="28"/>
        </w:rPr>
        <w:t>;</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Куватал (Челябинская обл.) с запасами железа – 221,3 млн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месторождение Пижемское (Республика Коми) с запасами титана – 12 831 тыс. т., титановых руд (попутное полезное ископаемое – железо) – 300,4 млн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месторождение Ново-Гремячинское (Волгоградская обл.) с запасами сильвинита – 1959,9 млн т;</w:t>
      </w:r>
    </w:p>
    <w:p w:rsidR="003A222D" w:rsidRPr="003A222D" w:rsidRDefault="003A222D" w:rsidP="003A222D">
      <w:pPr>
        <w:spacing w:after="0" w:line="240" w:lineRule="auto"/>
        <w:ind w:firstLine="284"/>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lastRenderedPageBreak/>
        <w:t>- месторождение Западное-Петриковское (Саратовская обл.) с запасами сильвинита – 3133,4 млн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Наиболее значимые приросты запасов по категории С1+С2 получены на месторождениях:</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Олимпиадинское (Красноярский край), золото – 302,6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Майское (Чукотский АО), золото – 75,4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Благодатное (Красноярский край) золото – 77,5 т;</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 Невское (Иркутская обл.), золото – 58,2 т.</w:t>
      </w:r>
    </w:p>
    <w:p w:rsidR="003A222D" w:rsidRPr="003A222D" w:rsidRDefault="003A222D" w:rsidP="003A222D">
      <w:pPr>
        <w:spacing w:after="0" w:line="240" w:lineRule="auto"/>
        <w:ind w:firstLine="709"/>
        <w:jc w:val="both"/>
        <w:rPr>
          <w:rFonts w:ascii="Times New Roman" w:eastAsia="Calibri" w:hAnsi="Times New Roman" w:cs="Times New Roman"/>
          <w:b/>
          <w:i/>
          <w:sz w:val="28"/>
          <w:szCs w:val="28"/>
        </w:rPr>
      </w:pPr>
      <w:r w:rsidRPr="003A222D">
        <w:rPr>
          <w:rFonts w:ascii="Times New Roman" w:eastAsia="Calibri" w:hAnsi="Times New Roman" w:cs="Times New Roman"/>
          <w:b/>
          <w:i/>
          <w:sz w:val="28"/>
          <w:szCs w:val="28"/>
        </w:rPr>
        <w:t>Выполнение индикаторов достижения цели «Воспроизводство минерально-сырьевой базы твердых полезных ископаемых».</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Геологоразведочными работами 2020 года обеспечено выполнение и перевыполнение (100-200%) показателей по уровню компенсации добычи приростом запасов по нефти, природному газу, углю, железным рудам и золоту.</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Показателями подпрограммы 1. «Воспроизводство минерально-сырьевой базы, геологическое изучение недр» государственной программы «Воспроизводство и использование природных ресурсов» в редакции постановления Правительства Российской Федерации от 28 марта 2019 г. N° 347 не предусматривался в 2020 году прирост запасов по урану и титану. Вместе с тем, по результатам геологоразведочных работ уровень компенсации добычи приростом запасов и прогнозных ресурсов высоких категорий составил по урану 10%, а по титану – более 1000%.</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Не получен предусмотренный показателями ГП ВИПР прирост запасов по марганцу.</w:t>
      </w:r>
    </w:p>
    <w:p w:rsidR="003A222D" w:rsidRPr="003A222D" w:rsidRDefault="003A222D" w:rsidP="003A222D">
      <w:pPr>
        <w:spacing w:after="0" w:line="240" w:lineRule="auto"/>
        <w:ind w:firstLine="709"/>
        <w:jc w:val="both"/>
        <w:rPr>
          <w:rFonts w:ascii="Times New Roman" w:eastAsia="Calibri" w:hAnsi="Times New Roman" w:cs="Times New Roman"/>
          <w:sz w:val="28"/>
          <w:szCs w:val="28"/>
        </w:rPr>
      </w:pPr>
      <w:r w:rsidRPr="003A222D">
        <w:rPr>
          <w:rFonts w:ascii="Times New Roman" w:eastAsia="Calibri" w:hAnsi="Times New Roman" w:cs="Times New Roman"/>
          <w:sz w:val="28"/>
          <w:szCs w:val="28"/>
        </w:rPr>
        <w:t>Прирост разведанных запасов и прогнозных ресурсов по итогам 2020 года обеспечивает уровень компенсации добычи по цинку на 61%, свинцу 51%, хрому 18%, меди 15%, никелю 7%, алмазам 9%. Это объясняется получением отрицательных результатов на объектах геологоразведочных работ, а также недостаточными объемами разведочных и оценочных работ недропользователей, что обусловлено, главным образом, высокой обеспеченностью горнодобывающих предприятий разведанными запасами по ряду важнейших видов полезных ископаемых: по свинцу и цинку около 70 лет, по меди и никелю - более 100 лет.</w:t>
      </w:r>
    </w:p>
    <w:p w:rsidR="008E401C" w:rsidRPr="00A66068" w:rsidRDefault="008E401C" w:rsidP="003A222D">
      <w:pPr>
        <w:pStyle w:val="Bodytext40"/>
        <w:shd w:val="clear" w:color="auto" w:fill="auto"/>
        <w:spacing w:before="0" w:after="0"/>
        <w:ind w:left="23" w:right="23" w:firstLine="680"/>
        <w:rPr>
          <w:rFonts w:eastAsia="Calibri"/>
          <w:b w:val="0"/>
          <w:bCs w:val="0"/>
          <w:i w:val="0"/>
          <w:iCs w:val="0"/>
          <w:color w:val="000000"/>
          <w:sz w:val="28"/>
          <w:szCs w:val="28"/>
        </w:rPr>
      </w:pPr>
    </w:p>
    <w:p w:rsidR="00671008" w:rsidRPr="00A66068" w:rsidRDefault="00671008" w:rsidP="00671008">
      <w:pPr>
        <w:spacing w:after="0" w:line="240" w:lineRule="auto"/>
        <w:ind w:firstLine="709"/>
        <w:jc w:val="center"/>
        <w:rPr>
          <w:rFonts w:ascii="Times New Roman" w:hAnsi="Times New Roman" w:cs="Times New Roman"/>
          <w:b/>
          <w:color w:val="5F497A" w:themeColor="accent4" w:themeShade="BF"/>
          <w:sz w:val="28"/>
          <w:szCs w:val="28"/>
        </w:rPr>
      </w:pPr>
      <w:r w:rsidRPr="00A66068">
        <w:rPr>
          <w:rFonts w:ascii="Times New Roman" w:hAnsi="Times New Roman" w:cs="Times New Roman"/>
          <w:b/>
          <w:color w:val="5F497A" w:themeColor="accent4" w:themeShade="BF"/>
          <w:sz w:val="28"/>
          <w:szCs w:val="28"/>
        </w:rPr>
        <w:t>СБОР, ХРАНЕНИЕ И ПРЕДОСТАВЛЕНИЕ В ПОЛЬЗОВАНИЕ ГЕОЛОГИЧЕСКОЙ ИНФОРМАЦИИ</w:t>
      </w:r>
    </w:p>
    <w:p w:rsidR="00671008" w:rsidRPr="00A66068" w:rsidRDefault="00671008" w:rsidP="00671008">
      <w:pPr>
        <w:spacing w:before="120" w:after="0" w:line="240" w:lineRule="auto"/>
        <w:contextualSpacing/>
        <w:jc w:val="both"/>
        <w:rPr>
          <w:rFonts w:ascii="Times New Roman" w:hAnsi="Times New Roman"/>
          <w:b/>
          <w:i/>
          <w:color w:val="E36C0A" w:themeColor="accent6" w:themeShade="BF"/>
          <w:sz w:val="28"/>
          <w:szCs w:val="28"/>
        </w:rPr>
      </w:pPr>
    </w:p>
    <w:p w:rsidR="00671008" w:rsidRPr="00A66068" w:rsidRDefault="00671008" w:rsidP="00671008">
      <w:pPr>
        <w:spacing w:before="120" w:after="0" w:line="240" w:lineRule="auto"/>
        <w:contextualSpacing/>
        <w:jc w:val="both"/>
        <w:rPr>
          <w:rFonts w:ascii="Times New Roman" w:hAnsi="Times New Roman"/>
          <w:b/>
          <w:i/>
          <w:color w:val="E36C0A" w:themeColor="accent6" w:themeShade="BF"/>
          <w:sz w:val="28"/>
          <w:szCs w:val="28"/>
        </w:rPr>
      </w:pPr>
      <w:r w:rsidRPr="00A66068">
        <w:rPr>
          <w:rFonts w:ascii="Times New Roman" w:hAnsi="Times New Roman"/>
          <w:b/>
          <w:i/>
          <w:color w:val="E36C0A" w:themeColor="accent6" w:themeShade="BF"/>
          <w:sz w:val="28"/>
          <w:szCs w:val="28"/>
        </w:rPr>
        <w:t>Цель. Повышение качества,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w:t>
      </w:r>
      <w:r w:rsidR="00A8710B" w:rsidRPr="00A66068">
        <w:rPr>
          <w:rFonts w:ascii="Times New Roman" w:hAnsi="Times New Roman"/>
          <w:b/>
          <w:i/>
          <w:color w:val="E36C0A" w:themeColor="accent6" w:themeShade="BF"/>
          <w:sz w:val="28"/>
          <w:szCs w:val="28"/>
        </w:rPr>
        <w:t>ции широкому кругу потребителей</w:t>
      </w:r>
    </w:p>
    <w:p w:rsidR="00A8710B" w:rsidRPr="00A66068" w:rsidRDefault="00A8710B" w:rsidP="00671008">
      <w:pPr>
        <w:spacing w:before="120" w:after="0" w:line="240" w:lineRule="auto"/>
        <w:contextualSpacing/>
        <w:jc w:val="both"/>
        <w:rPr>
          <w:rFonts w:ascii="Times New Roman" w:hAnsi="Times New Roman"/>
          <w:b/>
          <w:color w:val="E36C0A" w:themeColor="accent6" w:themeShade="BF"/>
          <w:sz w:val="28"/>
          <w:szCs w:val="28"/>
        </w:rPr>
      </w:pPr>
    </w:p>
    <w:p w:rsidR="001319F7" w:rsidRPr="001319F7" w:rsidRDefault="001319F7" w:rsidP="001319F7">
      <w:pPr>
        <w:spacing w:after="0" w:line="240" w:lineRule="auto"/>
        <w:ind w:firstLine="709"/>
        <w:contextualSpacing/>
        <w:jc w:val="both"/>
        <w:rPr>
          <w:rFonts w:ascii="Times New Roman" w:eastAsia="Calibri" w:hAnsi="Times New Roman" w:cs="Times New Roman"/>
          <w:sz w:val="28"/>
          <w:szCs w:val="28"/>
          <w:lang w:eastAsia="ru-RU"/>
        </w:rPr>
      </w:pPr>
      <w:r w:rsidRPr="001319F7">
        <w:rPr>
          <w:rFonts w:ascii="Times New Roman" w:eastAsia="Calibri" w:hAnsi="Times New Roman" w:cs="Times New Roman"/>
          <w:sz w:val="28"/>
          <w:szCs w:val="28"/>
          <w:lang w:eastAsia="ru-RU"/>
        </w:rPr>
        <w:t>За 2020 год (по состоянию на 31 декабря) фонд геологической информации пополнился более чем на 420 тыс. единиц.</w:t>
      </w:r>
    </w:p>
    <w:p w:rsidR="001319F7" w:rsidRPr="001319F7" w:rsidRDefault="001319F7" w:rsidP="001319F7">
      <w:pPr>
        <w:spacing w:after="0" w:line="240" w:lineRule="auto"/>
        <w:contextualSpacing/>
        <w:jc w:val="both"/>
        <w:rPr>
          <w:rFonts w:ascii="Times New Roman" w:eastAsia="Calibri" w:hAnsi="Times New Roman" w:cs="Times New Roman"/>
          <w:sz w:val="28"/>
          <w:szCs w:val="28"/>
          <w:lang w:eastAsia="ru-RU"/>
        </w:rPr>
      </w:pPr>
      <w:r w:rsidRPr="001319F7">
        <w:rPr>
          <w:rFonts w:ascii="Times New Roman" w:eastAsia="Calibri" w:hAnsi="Times New Roman" w:cs="Times New Roman"/>
          <w:sz w:val="28"/>
          <w:szCs w:val="28"/>
          <w:lang w:eastAsia="ru-RU"/>
        </w:rPr>
        <w:lastRenderedPageBreak/>
        <w:t>Число интернет-обращений к фондовым материалам, в т.ч.  с использованием возможностей ФГИС ЕФГИ составило 1 759 тыс. Выросло количество обращений к интерактивной карте недропользования – до 45 тыс., к ФГИС АСЛН – до 462 тыс.</w:t>
      </w:r>
    </w:p>
    <w:p w:rsidR="001319F7" w:rsidRPr="001319F7" w:rsidRDefault="001319F7" w:rsidP="001319F7">
      <w:pPr>
        <w:spacing w:after="0" w:line="240" w:lineRule="auto"/>
        <w:rPr>
          <w:rFonts w:ascii="Calibri" w:eastAsia="Calibri" w:hAnsi="Calibri" w:cs="Times New Roman"/>
          <w:color w:val="1F497D"/>
        </w:rPr>
      </w:pPr>
    </w:p>
    <w:p w:rsidR="00CC17BE" w:rsidRPr="001319F7" w:rsidRDefault="00CC17BE" w:rsidP="00583DC1">
      <w:pPr>
        <w:spacing w:after="0" w:line="240" w:lineRule="auto"/>
        <w:jc w:val="center"/>
        <w:rPr>
          <w:rFonts w:ascii="Times New Roman" w:eastAsia="Times New Roman" w:hAnsi="Times New Roman" w:cs="Times New Roman"/>
          <w:b/>
          <w:color w:val="5F497A" w:themeColor="accent4" w:themeShade="BF"/>
          <w:sz w:val="28"/>
          <w:szCs w:val="28"/>
          <w:lang w:eastAsia="ru-RU"/>
        </w:rPr>
      </w:pPr>
      <w:r w:rsidRPr="001319F7">
        <w:rPr>
          <w:rFonts w:ascii="Times New Roman" w:eastAsia="Times New Roman" w:hAnsi="Times New Roman" w:cs="Times New Roman"/>
          <w:b/>
          <w:color w:val="5F497A" w:themeColor="accent4" w:themeShade="BF"/>
          <w:sz w:val="28"/>
          <w:szCs w:val="28"/>
          <w:lang w:eastAsia="ru-RU"/>
        </w:rPr>
        <w:t>ОРГАНИЗАЦИОННОЕ ОБЕСПЕЧЕНИЕ ГОСУДАРСТВЕННОЙ СИСТЕМЫ ЛИЦЕНЗИРОВАНИЯ ПОЛЬЗОВАНИЯ НЕДРАМИ</w:t>
      </w:r>
    </w:p>
    <w:p w:rsidR="00A8710B" w:rsidRPr="001319F7" w:rsidRDefault="00A8710B" w:rsidP="00235A58">
      <w:pPr>
        <w:spacing w:after="0" w:line="240" w:lineRule="auto"/>
        <w:jc w:val="both"/>
        <w:rPr>
          <w:rFonts w:ascii="Times New Roman" w:eastAsia="Calibri" w:hAnsi="Times New Roman" w:cs="Times New Roman"/>
          <w:b/>
          <w:color w:val="E36C0A"/>
          <w:sz w:val="28"/>
          <w:szCs w:val="28"/>
        </w:rPr>
      </w:pPr>
    </w:p>
    <w:p w:rsidR="00235A58" w:rsidRPr="001319F7" w:rsidRDefault="00235A58" w:rsidP="00235A58">
      <w:pPr>
        <w:spacing w:after="0" w:line="240" w:lineRule="auto"/>
        <w:jc w:val="both"/>
        <w:rPr>
          <w:rFonts w:ascii="Times New Roman" w:eastAsia="Calibri" w:hAnsi="Times New Roman" w:cs="Times New Roman"/>
          <w:b/>
          <w:i/>
          <w:color w:val="E36C0A"/>
          <w:sz w:val="28"/>
          <w:szCs w:val="28"/>
        </w:rPr>
      </w:pPr>
      <w:r w:rsidRPr="001319F7">
        <w:rPr>
          <w:rFonts w:ascii="Times New Roman" w:eastAsia="Calibri" w:hAnsi="Times New Roman" w:cs="Times New Roman"/>
          <w:b/>
          <w:i/>
          <w:color w:val="E36C0A"/>
          <w:sz w:val="28"/>
          <w:szCs w:val="28"/>
        </w:rPr>
        <w:t xml:space="preserve">Цель. Обеспечение комплексного рационального использования и охраны недр в целях защиты интересов государства и граждан Российской Федерации, </w:t>
      </w:r>
      <w:r w:rsidR="00A8710B" w:rsidRPr="001319F7">
        <w:rPr>
          <w:rFonts w:ascii="Times New Roman" w:eastAsia="Calibri" w:hAnsi="Times New Roman" w:cs="Times New Roman"/>
          <w:b/>
          <w:i/>
          <w:color w:val="E36C0A"/>
          <w:sz w:val="28"/>
          <w:szCs w:val="28"/>
        </w:rPr>
        <w:t>а также прав пользователей недр</w:t>
      </w:r>
    </w:p>
    <w:p w:rsidR="00A8710B" w:rsidRPr="001319F7" w:rsidRDefault="00A8710B" w:rsidP="00235A58">
      <w:pPr>
        <w:spacing w:after="0" w:line="240" w:lineRule="auto"/>
        <w:jc w:val="both"/>
        <w:rPr>
          <w:rFonts w:ascii="Times New Roman" w:eastAsia="Calibri" w:hAnsi="Times New Roman" w:cs="Times New Roman"/>
          <w:b/>
          <w:color w:val="E36C0A"/>
          <w:sz w:val="28"/>
          <w:szCs w:val="28"/>
        </w:rPr>
      </w:pPr>
    </w:p>
    <w:p w:rsidR="00235A58" w:rsidRPr="001319F7" w:rsidRDefault="00235A58" w:rsidP="00A8710B">
      <w:pPr>
        <w:spacing w:after="0" w:line="240" w:lineRule="auto"/>
        <w:ind w:firstLine="709"/>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В первом полугодии 2020 года Роснедрами и его территориа</w:t>
      </w:r>
      <w:r w:rsidR="00D27385" w:rsidRPr="001319F7">
        <w:rPr>
          <w:rFonts w:ascii="Times New Roman" w:eastAsia="Calibri" w:hAnsi="Times New Roman" w:cs="Times New Roman"/>
          <w:sz w:val="28"/>
          <w:szCs w:val="28"/>
        </w:rPr>
        <w:t>льными органами было проведено 253</w:t>
      </w:r>
      <w:r w:rsidRPr="001319F7">
        <w:rPr>
          <w:rFonts w:ascii="Times New Roman" w:eastAsia="Calibri" w:hAnsi="Times New Roman" w:cs="Times New Roman"/>
          <w:sz w:val="28"/>
          <w:szCs w:val="28"/>
        </w:rPr>
        <w:t xml:space="preserve"> аукцион</w:t>
      </w:r>
      <w:r w:rsidR="008611BA"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 xml:space="preserve"> и конкурс</w:t>
      </w:r>
      <w:r w:rsidR="008611BA"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 xml:space="preserve"> на право пользования недрами (</w:t>
      </w:r>
      <w:r w:rsidR="00754F5F" w:rsidRPr="001319F7">
        <w:rPr>
          <w:rFonts w:ascii="Times New Roman" w:eastAsia="Calibri" w:hAnsi="Times New Roman" w:cs="Times New Roman"/>
          <w:sz w:val="28"/>
          <w:szCs w:val="28"/>
        </w:rPr>
        <w:t>207</w:t>
      </w:r>
      <w:r w:rsidRPr="001319F7">
        <w:rPr>
          <w:rFonts w:ascii="Times New Roman" w:eastAsia="Calibri" w:hAnsi="Times New Roman" w:cs="Times New Roman"/>
          <w:sz w:val="28"/>
          <w:szCs w:val="28"/>
        </w:rPr>
        <w:t xml:space="preserve"> – на ТПИ и </w:t>
      </w:r>
      <w:r w:rsidR="00424C75" w:rsidRPr="001319F7">
        <w:rPr>
          <w:rFonts w:ascii="Times New Roman" w:eastAsia="Calibri" w:hAnsi="Times New Roman" w:cs="Times New Roman"/>
          <w:sz w:val="28"/>
          <w:szCs w:val="28"/>
        </w:rPr>
        <w:t>46</w:t>
      </w:r>
      <w:r w:rsidRPr="001319F7">
        <w:rPr>
          <w:rFonts w:ascii="Times New Roman" w:eastAsia="Calibri" w:hAnsi="Times New Roman" w:cs="Times New Roman"/>
          <w:sz w:val="28"/>
          <w:szCs w:val="28"/>
        </w:rPr>
        <w:t xml:space="preserve"> – на УВС). Из них состоявшимися признаны </w:t>
      </w:r>
      <w:r w:rsidR="00D27385" w:rsidRPr="001319F7">
        <w:rPr>
          <w:rFonts w:ascii="Times New Roman" w:eastAsia="Calibri" w:hAnsi="Times New Roman" w:cs="Times New Roman"/>
          <w:sz w:val="28"/>
          <w:szCs w:val="28"/>
        </w:rPr>
        <w:t>177</w:t>
      </w:r>
      <w:r w:rsidRPr="001319F7">
        <w:rPr>
          <w:rFonts w:ascii="Times New Roman" w:eastAsia="Calibri" w:hAnsi="Times New Roman" w:cs="Times New Roman"/>
          <w:sz w:val="28"/>
          <w:szCs w:val="28"/>
        </w:rPr>
        <w:t xml:space="preserve"> аукцион</w:t>
      </w:r>
      <w:r w:rsidR="008611BA" w:rsidRPr="001319F7">
        <w:rPr>
          <w:rFonts w:ascii="Times New Roman" w:eastAsia="Calibri" w:hAnsi="Times New Roman" w:cs="Times New Roman"/>
          <w:sz w:val="28"/>
          <w:szCs w:val="28"/>
        </w:rPr>
        <w:t>ов</w:t>
      </w:r>
      <w:r w:rsidRPr="001319F7">
        <w:rPr>
          <w:rFonts w:ascii="Times New Roman" w:eastAsia="Calibri" w:hAnsi="Times New Roman" w:cs="Times New Roman"/>
          <w:sz w:val="28"/>
          <w:szCs w:val="28"/>
        </w:rPr>
        <w:t xml:space="preserve"> и конкурс</w:t>
      </w:r>
      <w:r w:rsidR="008611BA" w:rsidRPr="001319F7">
        <w:rPr>
          <w:rFonts w:ascii="Times New Roman" w:eastAsia="Calibri" w:hAnsi="Times New Roman" w:cs="Times New Roman"/>
          <w:sz w:val="28"/>
          <w:szCs w:val="28"/>
        </w:rPr>
        <w:t>ов</w:t>
      </w:r>
      <w:r w:rsidRPr="001319F7">
        <w:rPr>
          <w:rFonts w:ascii="Times New Roman" w:eastAsia="Calibri" w:hAnsi="Times New Roman" w:cs="Times New Roman"/>
          <w:sz w:val="28"/>
          <w:szCs w:val="28"/>
        </w:rPr>
        <w:t xml:space="preserve"> (</w:t>
      </w:r>
      <w:r w:rsidR="00754F5F" w:rsidRPr="001319F7">
        <w:rPr>
          <w:rFonts w:ascii="Times New Roman" w:eastAsia="Calibri" w:hAnsi="Times New Roman" w:cs="Times New Roman"/>
          <w:sz w:val="28"/>
          <w:szCs w:val="28"/>
        </w:rPr>
        <w:t>150</w:t>
      </w:r>
      <w:r w:rsidR="008611BA" w:rsidRPr="001319F7">
        <w:rPr>
          <w:rFonts w:ascii="Times New Roman" w:eastAsia="Calibri" w:hAnsi="Times New Roman" w:cs="Times New Roman"/>
          <w:sz w:val="28"/>
          <w:szCs w:val="28"/>
        </w:rPr>
        <w:t xml:space="preserve"> –</w:t>
      </w:r>
      <w:r w:rsidRPr="001319F7">
        <w:rPr>
          <w:rFonts w:ascii="Times New Roman" w:eastAsia="Calibri" w:hAnsi="Times New Roman" w:cs="Times New Roman"/>
          <w:sz w:val="28"/>
          <w:szCs w:val="28"/>
        </w:rPr>
        <w:t xml:space="preserve"> на ТПИ и </w:t>
      </w:r>
      <w:r w:rsidR="00424C75" w:rsidRPr="001319F7">
        <w:rPr>
          <w:rFonts w:ascii="Times New Roman" w:eastAsia="Calibri" w:hAnsi="Times New Roman" w:cs="Times New Roman"/>
          <w:sz w:val="28"/>
          <w:szCs w:val="28"/>
        </w:rPr>
        <w:t>27</w:t>
      </w:r>
      <w:r w:rsidRPr="001319F7">
        <w:rPr>
          <w:rFonts w:ascii="Times New Roman" w:eastAsia="Calibri" w:hAnsi="Times New Roman" w:cs="Times New Roman"/>
          <w:sz w:val="28"/>
          <w:szCs w:val="28"/>
        </w:rPr>
        <w:t xml:space="preserve"> – на УВС).</w:t>
      </w:r>
    </w:p>
    <w:p w:rsidR="00235A58" w:rsidRPr="001319F7" w:rsidRDefault="00235A58" w:rsidP="00A8710B">
      <w:pPr>
        <w:spacing w:after="0" w:line="240" w:lineRule="auto"/>
        <w:ind w:firstLine="709"/>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Наиболее крупными по размеру разового платежа являются участки недр:</w:t>
      </w:r>
    </w:p>
    <w:p w:rsidR="00235A58" w:rsidRPr="001319F7" w:rsidRDefault="00235A58" w:rsidP="00A8710B">
      <w:pPr>
        <w:spacing w:after="0" w:line="240" w:lineRule="auto"/>
        <w:ind w:firstLine="709"/>
        <w:jc w:val="both"/>
        <w:rPr>
          <w:rFonts w:ascii="Times New Roman" w:eastAsia="Calibri" w:hAnsi="Times New Roman" w:cs="Times New Roman"/>
          <w:b/>
          <w:sz w:val="28"/>
          <w:szCs w:val="28"/>
        </w:rPr>
      </w:pPr>
      <w:r w:rsidRPr="001319F7">
        <w:rPr>
          <w:rFonts w:ascii="Times New Roman" w:eastAsia="Calibri" w:hAnsi="Times New Roman" w:cs="Times New Roman"/>
          <w:b/>
          <w:sz w:val="28"/>
          <w:szCs w:val="28"/>
        </w:rPr>
        <w:t>УВС</w:t>
      </w:r>
      <w:r w:rsidR="00A8710B" w:rsidRPr="001319F7">
        <w:rPr>
          <w:rFonts w:ascii="Times New Roman" w:eastAsia="Calibri" w:hAnsi="Times New Roman" w:cs="Times New Roman"/>
          <w:b/>
          <w:sz w:val="28"/>
          <w:szCs w:val="28"/>
        </w:rPr>
        <w:t>:</w:t>
      </w:r>
    </w:p>
    <w:p w:rsidR="00424C75" w:rsidRPr="001319F7" w:rsidRDefault="00424C75" w:rsidP="00424C75">
      <w:pPr>
        <w:pStyle w:val="a3"/>
        <w:numPr>
          <w:ilvl w:val="0"/>
          <w:numId w:val="13"/>
        </w:numPr>
        <w:spacing w:after="0"/>
        <w:ind w:left="1134" w:hanging="425"/>
        <w:rPr>
          <w:rFonts w:cs="Times New Roman"/>
          <w:sz w:val="28"/>
          <w:szCs w:val="28"/>
        </w:rPr>
      </w:pPr>
      <w:r w:rsidRPr="001319F7">
        <w:rPr>
          <w:rFonts w:cs="Times New Roman"/>
          <w:sz w:val="28"/>
          <w:szCs w:val="28"/>
        </w:rPr>
        <w:t>Бабичевский – 1,507 млрд. руб. (Оренбургская обл.);</w:t>
      </w:r>
    </w:p>
    <w:p w:rsidR="00424C75" w:rsidRPr="001319F7" w:rsidRDefault="00424C75" w:rsidP="00424C75">
      <w:pPr>
        <w:pStyle w:val="a3"/>
        <w:numPr>
          <w:ilvl w:val="0"/>
          <w:numId w:val="13"/>
        </w:numPr>
        <w:spacing w:after="0"/>
        <w:ind w:left="1134" w:hanging="425"/>
        <w:rPr>
          <w:rFonts w:cs="Times New Roman"/>
          <w:sz w:val="28"/>
          <w:szCs w:val="28"/>
        </w:rPr>
      </w:pPr>
      <w:r w:rsidRPr="001319F7">
        <w:rPr>
          <w:rFonts w:cs="Times New Roman"/>
          <w:sz w:val="28"/>
          <w:szCs w:val="28"/>
        </w:rPr>
        <w:t>Новобарабановский – 1,204 млрд. руб. (Оренбургская обл.);</w:t>
      </w:r>
    </w:p>
    <w:p w:rsidR="00424C75" w:rsidRPr="001319F7" w:rsidRDefault="00424C75" w:rsidP="00424C75">
      <w:pPr>
        <w:pStyle w:val="a3"/>
        <w:numPr>
          <w:ilvl w:val="0"/>
          <w:numId w:val="13"/>
        </w:numPr>
        <w:spacing w:after="0"/>
        <w:ind w:left="1134" w:hanging="425"/>
        <w:rPr>
          <w:rFonts w:cs="Times New Roman"/>
          <w:sz w:val="28"/>
          <w:szCs w:val="28"/>
        </w:rPr>
      </w:pPr>
      <w:r w:rsidRPr="001319F7">
        <w:rPr>
          <w:rFonts w:cs="Times New Roman"/>
          <w:sz w:val="28"/>
          <w:szCs w:val="28"/>
        </w:rPr>
        <w:t>Северо-Олгуйдахский – 0,987 млрд. руб. (Республика Саха (Якутия)).</w:t>
      </w:r>
    </w:p>
    <w:p w:rsidR="00424C75" w:rsidRPr="001319F7" w:rsidRDefault="00424C75" w:rsidP="001A0ABF">
      <w:pPr>
        <w:spacing w:after="0" w:line="240" w:lineRule="auto"/>
        <w:ind w:firstLine="709"/>
        <w:contextualSpacing/>
        <w:jc w:val="both"/>
        <w:rPr>
          <w:rFonts w:ascii="Times New Roman" w:eastAsia="Calibri" w:hAnsi="Times New Roman" w:cs="Times New Roman"/>
          <w:b/>
          <w:sz w:val="28"/>
          <w:szCs w:val="28"/>
        </w:rPr>
      </w:pPr>
    </w:p>
    <w:p w:rsidR="00235A58" w:rsidRPr="001319F7" w:rsidRDefault="00235A58" w:rsidP="00424C75">
      <w:pPr>
        <w:spacing w:after="0" w:line="240" w:lineRule="auto"/>
        <w:ind w:left="356" w:firstLine="709"/>
        <w:contextualSpacing/>
        <w:jc w:val="both"/>
        <w:rPr>
          <w:rFonts w:ascii="Times New Roman" w:eastAsia="Calibri" w:hAnsi="Times New Roman" w:cs="Times New Roman"/>
          <w:b/>
          <w:sz w:val="28"/>
          <w:szCs w:val="28"/>
        </w:rPr>
      </w:pPr>
      <w:r w:rsidRPr="001319F7">
        <w:rPr>
          <w:rFonts w:ascii="Times New Roman" w:eastAsia="Calibri" w:hAnsi="Times New Roman" w:cs="Times New Roman"/>
          <w:b/>
          <w:sz w:val="28"/>
          <w:szCs w:val="28"/>
        </w:rPr>
        <w:t>ТПИ</w:t>
      </w:r>
      <w:r w:rsidR="001A0ABF" w:rsidRPr="001319F7">
        <w:rPr>
          <w:rFonts w:ascii="Times New Roman" w:eastAsia="Calibri" w:hAnsi="Times New Roman" w:cs="Times New Roman"/>
          <w:b/>
          <w:sz w:val="28"/>
          <w:szCs w:val="28"/>
        </w:rPr>
        <w:t>:</w:t>
      </w:r>
    </w:p>
    <w:p w:rsidR="004636C5" w:rsidRPr="001319F7" w:rsidRDefault="004636C5" w:rsidP="004636C5">
      <w:pPr>
        <w:numPr>
          <w:ilvl w:val="0"/>
          <w:numId w:val="11"/>
        </w:numPr>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Центральный участок Африкандовского 1 месторождения (Мурманская обл.);</w:t>
      </w:r>
    </w:p>
    <w:p w:rsidR="004636C5" w:rsidRPr="001319F7" w:rsidRDefault="004636C5" w:rsidP="004636C5">
      <w:pPr>
        <w:numPr>
          <w:ilvl w:val="0"/>
          <w:numId w:val="11"/>
        </w:numPr>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Доронинское рудное поле (Магаданская область);</w:t>
      </w:r>
    </w:p>
    <w:p w:rsidR="004636C5" w:rsidRPr="001319F7" w:rsidRDefault="004636C5" w:rsidP="004636C5">
      <w:pPr>
        <w:numPr>
          <w:ilvl w:val="0"/>
          <w:numId w:val="11"/>
        </w:numPr>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руч. Кусун-Эбелях с притоками Ырас-Сала, Ырас-Юряге и Унга-Сала (Республика Саха (Якутия);</w:t>
      </w:r>
    </w:p>
    <w:p w:rsidR="004636C5" w:rsidRPr="001319F7" w:rsidRDefault="004636C5" w:rsidP="004636C5">
      <w:pPr>
        <w:numPr>
          <w:ilvl w:val="0"/>
          <w:numId w:val="11"/>
        </w:numPr>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Березовский Западный </w:t>
      </w:r>
      <w:r w:rsidR="00B423A6" w:rsidRPr="001319F7">
        <w:rPr>
          <w:rFonts w:ascii="Times New Roman" w:eastAsia="Calibri" w:hAnsi="Times New Roman" w:cs="Times New Roman"/>
          <w:sz w:val="28"/>
          <w:szCs w:val="28"/>
        </w:rPr>
        <w:t>–</w:t>
      </w:r>
      <w:r w:rsidRPr="001319F7">
        <w:rPr>
          <w:rFonts w:ascii="Times New Roman" w:eastAsia="Calibri" w:hAnsi="Times New Roman" w:cs="Times New Roman"/>
          <w:sz w:val="28"/>
          <w:szCs w:val="28"/>
        </w:rPr>
        <w:t xml:space="preserve"> Прирезка Березовского каменноугольного месторождения (Кемеровская область).</w:t>
      </w:r>
    </w:p>
    <w:p w:rsidR="008A5B7F" w:rsidRPr="001319F7" w:rsidRDefault="008A5B7F" w:rsidP="001319F7">
      <w:pPr>
        <w:numPr>
          <w:ilvl w:val="0"/>
          <w:numId w:val="8"/>
        </w:numPr>
        <w:shd w:val="clear" w:color="auto" w:fill="FFFFFF" w:themeFill="background1"/>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Участок недр Понийский (Хабаровский край);</w:t>
      </w:r>
    </w:p>
    <w:p w:rsidR="008A5B7F" w:rsidRPr="001319F7" w:rsidRDefault="008A5B7F" w:rsidP="001319F7">
      <w:pPr>
        <w:numPr>
          <w:ilvl w:val="0"/>
          <w:numId w:val="8"/>
        </w:numPr>
        <w:shd w:val="clear" w:color="auto" w:fill="FFFFFF" w:themeFill="background1"/>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Участок Пыркакайские штокверки (Чукотский АО);</w:t>
      </w:r>
    </w:p>
    <w:p w:rsidR="008A5B7F" w:rsidRPr="001319F7" w:rsidRDefault="008A5B7F" w:rsidP="001319F7">
      <w:pPr>
        <w:numPr>
          <w:ilvl w:val="0"/>
          <w:numId w:val="8"/>
        </w:numPr>
        <w:shd w:val="clear" w:color="auto" w:fill="FFFFFF" w:themeFill="background1"/>
        <w:spacing w:before="120" w:after="0" w:line="240" w:lineRule="auto"/>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Участок Серебряная перспективная площадь (Забайкальский край).</w:t>
      </w:r>
    </w:p>
    <w:p w:rsidR="00235A58" w:rsidRPr="001319F7" w:rsidRDefault="00235A58" w:rsidP="00C1210F">
      <w:pPr>
        <w:spacing w:before="120" w:after="0" w:line="240" w:lineRule="auto"/>
        <w:ind w:firstLine="709"/>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По итогам первого полугодия 2020 года Роснедрами и его территориальными органами было предоставлено в пользование </w:t>
      </w:r>
      <w:r w:rsidR="00E6223F" w:rsidRPr="001319F7">
        <w:rPr>
          <w:rFonts w:ascii="Times New Roman" w:eastAsia="Calibri" w:hAnsi="Times New Roman" w:cs="Times New Roman"/>
          <w:sz w:val="28"/>
          <w:szCs w:val="28"/>
        </w:rPr>
        <w:t>2072</w:t>
      </w:r>
      <w:r w:rsidRPr="001319F7">
        <w:rPr>
          <w:rFonts w:ascii="Times New Roman" w:eastAsia="Calibri" w:hAnsi="Times New Roman" w:cs="Times New Roman"/>
          <w:sz w:val="28"/>
          <w:szCs w:val="28"/>
        </w:rPr>
        <w:t xml:space="preserve"> участк</w:t>
      </w:r>
      <w:r w:rsidR="00913B76" w:rsidRPr="001319F7">
        <w:rPr>
          <w:rFonts w:ascii="Times New Roman" w:eastAsia="Calibri" w:hAnsi="Times New Roman" w:cs="Times New Roman"/>
          <w:sz w:val="28"/>
          <w:szCs w:val="28"/>
        </w:rPr>
        <w:t>а</w:t>
      </w:r>
      <w:r w:rsidRPr="001319F7">
        <w:rPr>
          <w:rFonts w:ascii="Times New Roman" w:eastAsia="Calibri" w:hAnsi="Times New Roman" w:cs="Times New Roman"/>
          <w:sz w:val="28"/>
          <w:szCs w:val="28"/>
        </w:rPr>
        <w:t xml:space="preserve"> недр, в т.ч.: </w:t>
      </w:r>
      <w:r w:rsidR="00E6223F" w:rsidRPr="001319F7">
        <w:rPr>
          <w:rFonts w:ascii="Times New Roman" w:eastAsia="Calibri" w:hAnsi="Times New Roman" w:cs="Times New Roman"/>
          <w:sz w:val="28"/>
          <w:szCs w:val="28"/>
        </w:rPr>
        <w:t>172</w:t>
      </w:r>
      <w:r w:rsidRPr="001319F7">
        <w:rPr>
          <w:rFonts w:ascii="Times New Roman" w:eastAsia="Calibri" w:hAnsi="Times New Roman" w:cs="Times New Roman"/>
          <w:sz w:val="28"/>
          <w:szCs w:val="28"/>
        </w:rPr>
        <w:t xml:space="preserve"> – на УВС, </w:t>
      </w:r>
      <w:r w:rsidR="00E6223F" w:rsidRPr="001319F7">
        <w:rPr>
          <w:rFonts w:ascii="Times New Roman" w:eastAsia="Calibri" w:hAnsi="Times New Roman" w:cs="Times New Roman"/>
          <w:sz w:val="28"/>
          <w:szCs w:val="28"/>
        </w:rPr>
        <w:t>1900</w:t>
      </w:r>
      <w:r w:rsidR="00913B76" w:rsidRPr="001319F7">
        <w:rPr>
          <w:rFonts w:ascii="Times New Roman" w:eastAsia="Calibri" w:hAnsi="Times New Roman" w:cs="Times New Roman"/>
          <w:sz w:val="28"/>
          <w:szCs w:val="28"/>
        </w:rPr>
        <w:t xml:space="preserve"> – на ТПИ.</w:t>
      </w:r>
    </w:p>
    <w:p w:rsidR="00235A58" w:rsidRPr="001319F7" w:rsidRDefault="00235A58" w:rsidP="00B06233">
      <w:pPr>
        <w:spacing w:before="120" w:after="0" w:line="240" w:lineRule="auto"/>
        <w:ind w:firstLine="709"/>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Комиссиями центрального аппарата Роснедр и его территориальных органов по рассмотрению вопросом о досрочном прекращении, приостановлении или ограничении права пользования недрами были приняты решения:</w:t>
      </w:r>
    </w:p>
    <w:p w:rsidR="00235A58" w:rsidRPr="001319F7" w:rsidRDefault="00235A58" w:rsidP="00B06233">
      <w:pPr>
        <w:spacing w:before="120" w:after="0" w:line="240" w:lineRule="auto"/>
        <w:ind w:firstLine="709"/>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направить уведомления о нарушении условий пользования недрами по </w:t>
      </w:r>
      <w:r w:rsidR="0038540C" w:rsidRPr="001319F7">
        <w:rPr>
          <w:rFonts w:ascii="Times New Roman" w:eastAsia="Calibri" w:hAnsi="Times New Roman" w:cs="Times New Roman"/>
          <w:sz w:val="28"/>
          <w:szCs w:val="28"/>
        </w:rPr>
        <w:t>626</w:t>
      </w:r>
      <w:r w:rsidRPr="001319F7">
        <w:rPr>
          <w:rFonts w:ascii="Times New Roman" w:eastAsia="Calibri" w:hAnsi="Times New Roman" w:cs="Times New Roman"/>
          <w:sz w:val="28"/>
          <w:szCs w:val="28"/>
        </w:rPr>
        <w:t xml:space="preserve"> лицензиям (УВС </w:t>
      </w:r>
      <w:r w:rsidR="00755A7E" w:rsidRPr="001319F7">
        <w:rPr>
          <w:rFonts w:ascii="Times New Roman" w:eastAsia="Calibri" w:hAnsi="Times New Roman" w:cs="Times New Roman"/>
          <w:sz w:val="28"/>
          <w:szCs w:val="28"/>
        </w:rPr>
        <w:t>–</w:t>
      </w:r>
      <w:r w:rsidRPr="001319F7">
        <w:rPr>
          <w:rFonts w:ascii="Times New Roman" w:eastAsia="Calibri" w:hAnsi="Times New Roman" w:cs="Times New Roman"/>
          <w:sz w:val="28"/>
          <w:szCs w:val="28"/>
        </w:rPr>
        <w:t xml:space="preserve"> 3</w:t>
      </w:r>
      <w:r w:rsidR="00424C75" w:rsidRPr="001319F7">
        <w:rPr>
          <w:rFonts w:ascii="Times New Roman" w:eastAsia="Calibri" w:hAnsi="Times New Roman" w:cs="Times New Roman"/>
          <w:sz w:val="28"/>
          <w:szCs w:val="28"/>
        </w:rPr>
        <w:t>3</w:t>
      </w:r>
      <w:r w:rsidR="0038540C" w:rsidRPr="001319F7">
        <w:rPr>
          <w:rFonts w:ascii="Times New Roman" w:eastAsia="Calibri" w:hAnsi="Times New Roman" w:cs="Times New Roman"/>
          <w:sz w:val="28"/>
          <w:szCs w:val="28"/>
        </w:rPr>
        <w:t>, ТПИ - 593</w:t>
      </w:r>
      <w:r w:rsidRPr="001319F7">
        <w:rPr>
          <w:rFonts w:ascii="Times New Roman" w:eastAsia="Calibri" w:hAnsi="Times New Roman" w:cs="Times New Roman"/>
          <w:sz w:val="28"/>
          <w:szCs w:val="28"/>
        </w:rPr>
        <w:t>);</w:t>
      </w:r>
    </w:p>
    <w:p w:rsidR="00235A58" w:rsidRPr="001319F7" w:rsidRDefault="00235A58" w:rsidP="00B06233">
      <w:pPr>
        <w:spacing w:before="120" w:after="0" w:line="240" w:lineRule="auto"/>
        <w:ind w:firstLine="709"/>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принять к сведению информацию об устранении допущенных нарушений </w:t>
      </w:r>
      <w:r w:rsidR="00755A7E" w:rsidRPr="001319F7">
        <w:rPr>
          <w:rFonts w:ascii="Times New Roman" w:eastAsia="Calibri" w:hAnsi="Times New Roman" w:cs="Times New Roman"/>
          <w:sz w:val="28"/>
          <w:szCs w:val="28"/>
        </w:rPr>
        <w:t xml:space="preserve">условий пользования недрами по </w:t>
      </w:r>
      <w:r w:rsidR="0038540C" w:rsidRPr="001319F7">
        <w:rPr>
          <w:rFonts w:ascii="Times New Roman" w:eastAsia="Calibri" w:hAnsi="Times New Roman" w:cs="Times New Roman"/>
          <w:sz w:val="28"/>
          <w:szCs w:val="28"/>
        </w:rPr>
        <w:t>164</w:t>
      </w:r>
      <w:r w:rsidRPr="001319F7">
        <w:rPr>
          <w:rFonts w:ascii="Times New Roman" w:eastAsia="Calibri" w:hAnsi="Times New Roman" w:cs="Times New Roman"/>
          <w:sz w:val="28"/>
          <w:szCs w:val="28"/>
        </w:rPr>
        <w:t xml:space="preserve"> лицензиям (УВС </w:t>
      </w:r>
      <w:r w:rsidR="00755A7E" w:rsidRPr="001319F7">
        <w:rPr>
          <w:rFonts w:ascii="Times New Roman" w:eastAsia="Calibri" w:hAnsi="Times New Roman" w:cs="Times New Roman"/>
          <w:sz w:val="28"/>
          <w:szCs w:val="28"/>
        </w:rPr>
        <w:t>–</w:t>
      </w:r>
      <w:r w:rsidRPr="001319F7">
        <w:rPr>
          <w:rFonts w:ascii="Times New Roman" w:eastAsia="Calibri" w:hAnsi="Times New Roman" w:cs="Times New Roman"/>
          <w:sz w:val="28"/>
          <w:szCs w:val="28"/>
        </w:rPr>
        <w:t xml:space="preserve"> </w:t>
      </w:r>
      <w:r w:rsidR="00424C75" w:rsidRPr="001319F7">
        <w:rPr>
          <w:rFonts w:ascii="Times New Roman" w:eastAsia="Calibri" w:hAnsi="Times New Roman" w:cs="Times New Roman"/>
          <w:sz w:val="28"/>
          <w:szCs w:val="28"/>
        </w:rPr>
        <w:t>87</w:t>
      </w:r>
      <w:r w:rsidR="0038540C" w:rsidRPr="001319F7">
        <w:rPr>
          <w:rFonts w:ascii="Times New Roman" w:eastAsia="Calibri" w:hAnsi="Times New Roman" w:cs="Times New Roman"/>
          <w:sz w:val="28"/>
          <w:szCs w:val="28"/>
        </w:rPr>
        <w:t>, ТПИ - 77</w:t>
      </w:r>
      <w:r w:rsidRPr="001319F7">
        <w:rPr>
          <w:rFonts w:ascii="Times New Roman" w:eastAsia="Calibri" w:hAnsi="Times New Roman" w:cs="Times New Roman"/>
          <w:sz w:val="28"/>
          <w:szCs w:val="28"/>
        </w:rPr>
        <w:t>);</w:t>
      </w:r>
    </w:p>
    <w:p w:rsidR="00235A58" w:rsidRPr="001319F7" w:rsidRDefault="00235A58" w:rsidP="00B06233">
      <w:pPr>
        <w:spacing w:before="120" w:after="0" w:line="240" w:lineRule="auto"/>
        <w:ind w:firstLine="709"/>
        <w:contextualSpacing/>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t xml:space="preserve">- досрочно прекратить право пользования недрами по </w:t>
      </w:r>
      <w:r w:rsidR="00755A7E" w:rsidRPr="001319F7">
        <w:rPr>
          <w:rFonts w:ascii="Times New Roman" w:eastAsia="Calibri" w:hAnsi="Times New Roman" w:cs="Times New Roman"/>
          <w:sz w:val="28"/>
          <w:szCs w:val="28"/>
        </w:rPr>
        <w:t>1</w:t>
      </w:r>
      <w:r w:rsidR="0038540C" w:rsidRPr="001319F7">
        <w:rPr>
          <w:rFonts w:ascii="Times New Roman" w:eastAsia="Calibri" w:hAnsi="Times New Roman" w:cs="Times New Roman"/>
          <w:sz w:val="28"/>
          <w:szCs w:val="28"/>
        </w:rPr>
        <w:t>2 лицензиям (ТПИ</w:t>
      </w:r>
      <w:r w:rsidRPr="001319F7">
        <w:rPr>
          <w:rFonts w:ascii="Times New Roman" w:eastAsia="Calibri" w:hAnsi="Times New Roman" w:cs="Times New Roman"/>
          <w:sz w:val="28"/>
          <w:szCs w:val="28"/>
        </w:rPr>
        <w:t>);</w:t>
      </w:r>
    </w:p>
    <w:p w:rsidR="00235A58" w:rsidRDefault="00235A58" w:rsidP="00C1210F">
      <w:pPr>
        <w:spacing w:after="0" w:line="240" w:lineRule="auto"/>
        <w:ind w:firstLine="709"/>
        <w:jc w:val="both"/>
        <w:rPr>
          <w:rFonts w:ascii="Times New Roman" w:eastAsia="Calibri" w:hAnsi="Times New Roman" w:cs="Times New Roman"/>
          <w:sz w:val="28"/>
          <w:szCs w:val="28"/>
        </w:rPr>
      </w:pPr>
      <w:r w:rsidRPr="001319F7">
        <w:rPr>
          <w:rFonts w:ascii="Times New Roman" w:eastAsia="Calibri" w:hAnsi="Times New Roman" w:cs="Times New Roman"/>
          <w:sz w:val="28"/>
          <w:szCs w:val="28"/>
        </w:rPr>
        <w:lastRenderedPageBreak/>
        <w:t xml:space="preserve">Доходы федерального бюджета от разовых платежей за пользование недрами </w:t>
      </w:r>
      <w:r w:rsidR="00883ABF" w:rsidRPr="001319F7">
        <w:rPr>
          <w:rFonts w:ascii="Times New Roman" w:eastAsia="Calibri" w:hAnsi="Times New Roman" w:cs="Times New Roman"/>
          <w:sz w:val="28"/>
          <w:szCs w:val="28"/>
        </w:rPr>
        <w:t xml:space="preserve">за отчетный период составили </w:t>
      </w:r>
      <w:r w:rsidR="00424C75" w:rsidRPr="001319F7">
        <w:rPr>
          <w:rFonts w:ascii="Times New Roman" w:eastAsia="Calibri" w:hAnsi="Times New Roman" w:cs="Times New Roman"/>
          <w:sz w:val="28"/>
          <w:szCs w:val="28"/>
        </w:rPr>
        <w:t>48,4</w:t>
      </w:r>
      <w:r w:rsidRPr="001319F7">
        <w:rPr>
          <w:rFonts w:ascii="Times New Roman" w:eastAsia="Calibri" w:hAnsi="Times New Roman" w:cs="Times New Roman"/>
          <w:sz w:val="28"/>
          <w:szCs w:val="28"/>
        </w:rPr>
        <w:t xml:space="preserve"> млрд</w:t>
      </w:r>
      <w:r w:rsidR="00883ABF" w:rsidRPr="001319F7">
        <w:rPr>
          <w:rFonts w:ascii="Times New Roman" w:eastAsia="Calibri" w:hAnsi="Times New Roman" w:cs="Times New Roman"/>
          <w:sz w:val="28"/>
          <w:szCs w:val="28"/>
        </w:rPr>
        <w:t xml:space="preserve"> </w:t>
      </w:r>
      <w:r w:rsidRPr="001319F7">
        <w:rPr>
          <w:rFonts w:ascii="Times New Roman" w:eastAsia="Calibri" w:hAnsi="Times New Roman" w:cs="Times New Roman"/>
          <w:sz w:val="28"/>
          <w:szCs w:val="28"/>
        </w:rPr>
        <w:t>руб</w:t>
      </w:r>
      <w:r w:rsidR="00883ABF" w:rsidRPr="001319F7">
        <w:rPr>
          <w:rFonts w:ascii="Times New Roman" w:eastAsia="Calibri" w:hAnsi="Times New Roman" w:cs="Times New Roman"/>
          <w:sz w:val="28"/>
          <w:szCs w:val="28"/>
        </w:rPr>
        <w:t xml:space="preserve">., в том числе </w:t>
      </w:r>
      <w:r w:rsidR="00424C75" w:rsidRPr="001319F7">
        <w:rPr>
          <w:rFonts w:ascii="Times New Roman" w:eastAsia="Calibri" w:hAnsi="Times New Roman" w:cs="Times New Roman"/>
          <w:sz w:val="28"/>
          <w:szCs w:val="28"/>
        </w:rPr>
        <w:t>30</w:t>
      </w:r>
      <w:r w:rsidR="00883ABF" w:rsidRPr="001319F7">
        <w:rPr>
          <w:rFonts w:ascii="Times New Roman" w:eastAsia="Calibri" w:hAnsi="Times New Roman" w:cs="Times New Roman"/>
          <w:sz w:val="28"/>
          <w:szCs w:val="28"/>
        </w:rPr>
        <w:t xml:space="preserve">, </w:t>
      </w:r>
      <w:r w:rsidR="00424C75" w:rsidRPr="001319F7">
        <w:rPr>
          <w:rFonts w:ascii="Times New Roman" w:eastAsia="Calibri" w:hAnsi="Times New Roman" w:cs="Times New Roman"/>
          <w:sz w:val="28"/>
          <w:szCs w:val="28"/>
        </w:rPr>
        <w:t>5</w:t>
      </w:r>
      <w:r w:rsidR="00883ABF" w:rsidRPr="001319F7">
        <w:t xml:space="preserve"> </w:t>
      </w:r>
      <w:r w:rsidR="00883ABF" w:rsidRPr="001319F7">
        <w:rPr>
          <w:rFonts w:ascii="Times New Roman" w:eastAsia="Calibri" w:hAnsi="Times New Roman" w:cs="Times New Roman"/>
          <w:sz w:val="28"/>
          <w:szCs w:val="28"/>
        </w:rPr>
        <w:t xml:space="preserve">млрд руб. (УВС), </w:t>
      </w:r>
      <w:r w:rsidR="008A5B7F" w:rsidRPr="001319F7">
        <w:rPr>
          <w:rFonts w:ascii="Times New Roman" w:eastAsia="Calibri" w:hAnsi="Times New Roman" w:cs="Times New Roman"/>
          <w:sz w:val="28"/>
          <w:szCs w:val="28"/>
        </w:rPr>
        <w:t>17,9</w:t>
      </w:r>
      <w:r w:rsidR="00883ABF" w:rsidRPr="001319F7">
        <w:rPr>
          <w:rFonts w:ascii="Times New Roman" w:eastAsia="Calibri" w:hAnsi="Times New Roman" w:cs="Times New Roman"/>
          <w:sz w:val="28"/>
          <w:szCs w:val="28"/>
        </w:rPr>
        <w:t> млрд руб. (ТПИ)</w:t>
      </w:r>
      <w:r w:rsidRPr="001319F7">
        <w:rPr>
          <w:rFonts w:ascii="Times New Roman" w:eastAsia="Calibri" w:hAnsi="Times New Roman" w:cs="Times New Roman"/>
          <w:sz w:val="28"/>
          <w:szCs w:val="28"/>
        </w:rPr>
        <w:t>.</w:t>
      </w:r>
    </w:p>
    <w:sectPr w:rsidR="00235A58" w:rsidSect="001C50C6">
      <w:headerReference w:type="default" r:id="rId9"/>
      <w:headerReference w:type="firs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3B" w:rsidRDefault="00E0253B" w:rsidP="001C50C6">
      <w:pPr>
        <w:spacing w:after="0" w:line="240" w:lineRule="auto"/>
      </w:pPr>
      <w:r>
        <w:separator/>
      </w:r>
    </w:p>
  </w:endnote>
  <w:endnote w:type="continuationSeparator" w:id="0">
    <w:p w:rsidR="00E0253B" w:rsidRDefault="00E0253B" w:rsidP="001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3B" w:rsidRDefault="00E0253B" w:rsidP="001C50C6">
      <w:pPr>
        <w:spacing w:after="0" w:line="240" w:lineRule="auto"/>
      </w:pPr>
      <w:r>
        <w:separator/>
      </w:r>
    </w:p>
  </w:footnote>
  <w:footnote w:type="continuationSeparator" w:id="0">
    <w:p w:rsidR="00E0253B" w:rsidRDefault="00E0253B" w:rsidP="001C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74291"/>
      <w:docPartObj>
        <w:docPartGallery w:val="Page Numbers (Top of Page)"/>
        <w:docPartUnique/>
      </w:docPartObj>
    </w:sdtPr>
    <w:sdtEndPr/>
    <w:sdtContent>
      <w:p w:rsidR="001C50C6" w:rsidRDefault="001C50C6">
        <w:pPr>
          <w:pStyle w:val="a9"/>
          <w:jc w:val="center"/>
        </w:pPr>
        <w:r>
          <w:fldChar w:fldCharType="begin"/>
        </w:r>
        <w:r>
          <w:instrText>PAGE   \* MERGEFORMAT</w:instrText>
        </w:r>
        <w:r>
          <w:fldChar w:fldCharType="separate"/>
        </w:r>
        <w:r w:rsidR="0017230B">
          <w:rPr>
            <w:noProof/>
          </w:rPr>
          <w:t>10</w:t>
        </w:r>
        <w:r>
          <w:fldChar w:fldCharType="end"/>
        </w:r>
      </w:p>
    </w:sdtContent>
  </w:sdt>
  <w:p w:rsidR="001C50C6" w:rsidRDefault="001C50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E3" w:rsidRPr="008028E3" w:rsidRDefault="008028E3" w:rsidP="008028E3">
    <w:pPr>
      <w:pStyle w:val="a9"/>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D4D"/>
    <w:multiLevelType w:val="hybridMultilevel"/>
    <w:tmpl w:val="6CC2B064"/>
    <w:lvl w:ilvl="0" w:tplc="1FA8BC60">
      <w:start w:val="1"/>
      <w:numFmt w:val="bullet"/>
      <w:lvlText w:val="n"/>
      <w:lvlJc w:val="left"/>
      <w:pPr>
        <w:ind w:left="360" w:hanging="360"/>
      </w:pPr>
      <w:rPr>
        <w:rFonts w:ascii="Wingdings" w:hAnsi="Wingdings" w:hint="default"/>
        <w:color w:val="365F91" w:themeColor="accent1" w:themeShade="BF"/>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7246D7F"/>
    <w:multiLevelType w:val="hybridMultilevel"/>
    <w:tmpl w:val="019AC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E00B92"/>
    <w:multiLevelType w:val="hybridMultilevel"/>
    <w:tmpl w:val="1658A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5E3645"/>
    <w:multiLevelType w:val="hybridMultilevel"/>
    <w:tmpl w:val="58A8A0E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2BD971BB"/>
    <w:multiLevelType w:val="hybridMultilevel"/>
    <w:tmpl w:val="E4B81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44AE8"/>
    <w:multiLevelType w:val="hybridMultilevel"/>
    <w:tmpl w:val="62863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E0226"/>
    <w:multiLevelType w:val="multilevel"/>
    <w:tmpl w:val="4120F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FC3F46"/>
    <w:multiLevelType w:val="hybridMultilevel"/>
    <w:tmpl w:val="4EBE3C5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60D9340D"/>
    <w:multiLevelType w:val="hybridMultilevel"/>
    <w:tmpl w:val="1A2EC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05245B0"/>
    <w:multiLevelType w:val="hybridMultilevel"/>
    <w:tmpl w:val="7F08D6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760273C7"/>
    <w:multiLevelType w:val="hybridMultilevel"/>
    <w:tmpl w:val="3E7EC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2"/>
  </w:num>
  <w:num w:numId="7">
    <w:abstractNumId w:val="9"/>
  </w:num>
  <w:num w:numId="8">
    <w:abstractNumId w:val="3"/>
  </w:num>
  <w:num w:numId="9">
    <w:abstractNumId w:val="7"/>
  </w:num>
  <w:num w:numId="10">
    <w:abstractNumId w:val="9"/>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CC"/>
    <w:rsid w:val="000001FD"/>
    <w:rsid w:val="00007E22"/>
    <w:rsid w:val="00015C1E"/>
    <w:rsid w:val="0002655C"/>
    <w:rsid w:val="00026B08"/>
    <w:rsid w:val="0002705D"/>
    <w:rsid w:val="00033DF3"/>
    <w:rsid w:val="00034613"/>
    <w:rsid w:val="00042706"/>
    <w:rsid w:val="00042DBF"/>
    <w:rsid w:val="00050918"/>
    <w:rsid w:val="00051092"/>
    <w:rsid w:val="000577A5"/>
    <w:rsid w:val="00064396"/>
    <w:rsid w:val="00065074"/>
    <w:rsid w:val="000652F8"/>
    <w:rsid w:val="000676E5"/>
    <w:rsid w:val="000A2965"/>
    <w:rsid w:val="000B2CEB"/>
    <w:rsid w:val="000B6ED0"/>
    <w:rsid w:val="000B7C51"/>
    <w:rsid w:val="000C40C6"/>
    <w:rsid w:val="000C7D16"/>
    <w:rsid w:val="000D07A9"/>
    <w:rsid w:val="000E302B"/>
    <w:rsid w:val="000E72F8"/>
    <w:rsid w:val="000F6B42"/>
    <w:rsid w:val="00101124"/>
    <w:rsid w:val="0010144D"/>
    <w:rsid w:val="001024C6"/>
    <w:rsid w:val="00102657"/>
    <w:rsid w:val="00110160"/>
    <w:rsid w:val="001229C0"/>
    <w:rsid w:val="00125DB6"/>
    <w:rsid w:val="00127928"/>
    <w:rsid w:val="00130383"/>
    <w:rsid w:val="001319F7"/>
    <w:rsid w:val="001340B0"/>
    <w:rsid w:val="0013531D"/>
    <w:rsid w:val="0013610D"/>
    <w:rsid w:val="00144E47"/>
    <w:rsid w:val="001476AE"/>
    <w:rsid w:val="0017230B"/>
    <w:rsid w:val="00176148"/>
    <w:rsid w:val="00186C7E"/>
    <w:rsid w:val="00187278"/>
    <w:rsid w:val="00197A4C"/>
    <w:rsid w:val="001A0ABF"/>
    <w:rsid w:val="001B2B1A"/>
    <w:rsid w:val="001C00D0"/>
    <w:rsid w:val="001C50C6"/>
    <w:rsid w:val="001D4B88"/>
    <w:rsid w:val="001E1732"/>
    <w:rsid w:val="001E2116"/>
    <w:rsid w:val="001E211D"/>
    <w:rsid w:val="001E3F98"/>
    <w:rsid w:val="00202B67"/>
    <w:rsid w:val="00217BCD"/>
    <w:rsid w:val="00235A58"/>
    <w:rsid w:val="0024260F"/>
    <w:rsid w:val="002568CE"/>
    <w:rsid w:val="00261631"/>
    <w:rsid w:val="00277208"/>
    <w:rsid w:val="002B065F"/>
    <w:rsid w:val="002B38A6"/>
    <w:rsid w:val="002C4158"/>
    <w:rsid w:val="002D0186"/>
    <w:rsid w:val="002E6C2C"/>
    <w:rsid w:val="002F5DBF"/>
    <w:rsid w:val="003152AE"/>
    <w:rsid w:val="00342FD2"/>
    <w:rsid w:val="00343C79"/>
    <w:rsid w:val="003507C7"/>
    <w:rsid w:val="00355C56"/>
    <w:rsid w:val="003644D5"/>
    <w:rsid w:val="003759AE"/>
    <w:rsid w:val="0038540C"/>
    <w:rsid w:val="00393E21"/>
    <w:rsid w:val="0039702C"/>
    <w:rsid w:val="003A0AC4"/>
    <w:rsid w:val="003A222D"/>
    <w:rsid w:val="003A3E2E"/>
    <w:rsid w:val="003A47AF"/>
    <w:rsid w:val="003B5CB4"/>
    <w:rsid w:val="003B6069"/>
    <w:rsid w:val="003C4B49"/>
    <w:rsid w:val="003C4C7A"/>
    <w:rsid w:val="003D307F"/>
    <w:rsid w:val="003D4B2D"/>
    <w:rsid w:val="003D6002"/>
    <w:rsid w:val="003F019A"/>
    <w:rsid w:val="003F064F"/>
    <w:rsid w:val="003F2057"/>
    <w:rsid w:val="003F264D"/>
    <w:rsid w:val="003F3365"/>
    <w:rsid w:val="003F3B50"/>
    <w:rsid w:val="003F7D4C"/>
    <w:rsid w:val="00402505"/>
    <w:rsid w:val="004105B8"/>
    <w:rsid w:val="004211A1"/>
    <w:rsid w:val="00424C75"/>
    <w:rsid w:val="00426E3C"/>
    <w:rsid w:val="004277BD"/>
    <w:rsid w:val="00451FB0"/>
    <w:rsid w:val="00454EF6"/>
    <w:rsid w:val="0045677C"/>
    <w:rsid w:val="004636C5"/>
    <w:rsid w:val="0047059B"/>
    <w:rsid w:val="0047653B"/>
    <w:rsid w:val="0048740E"/>
    <w:rsid w:val="00491164"/>
    <w:rsid w:val="00491BBC"/>
    <w:rsid w:val="00492C6D"/>
    <w:rsid w:val="004A79A9"/>
    <w:rsid w:val="004B0016"/>
    <w:rsid w:val="004C1B28"/>
    <w:rsid w:val="004C4089"/>
    <w:rsid w:val="004C7C80"/>
    <w:rsid w:val="004D3338"/>
    <w:rsid w:val="004D3737"/>
    <w:rsid w:val="004D4488"/>
    <w:rsid w:val="004D6C2B"/>
    <w:rsid w:val="004D7D98"/>
    <w:rsid w:val="004F0AC4"/>
    <w:rsid w:val="004F22E6"/>
    <w:rsid w:val="00502E76"/>
    <w:rsid w:val="005057B2"/>
    <w:rsid w:val="00517BA9"/>
    <w:rsid w:val="00520BB4"/>
    <w:rsid w:val="005231BA"/>
    <w:rsid w:val="00525E1B"/>
    <w:rsid w:val="00530E0E"/>
    <w:rsid w:val="00534724"/>
    <w:rsid w:val="005378F1"/>
    <w:rsid w:val="005452E6"/>
    <w:rsid w:val="00547471"/>
    <w:rsid w:val="00583DC1"/>
    <w:rsid w:val="00592BD9"/>
    <w:rsid w:val="005A3EE9"/>
    <w:rsid w:val="005A4076"/>
    <w:rsid w:val="005B6286"/>
    <w:rsid w:val="005B6ABA"/>
    <w:rsid w:val="005C301B"/>
    <w:rsid w:val="005C67D2"/>
    <w:rsid w:val="005D4AE4"/>
    <w:rsid w:val="005D7453"/>
    <w:rsid w:val="005E04AB"/>
    <w:rsid w:val="005E439D"/>
    <w:rsid w:val="005F0C2E"/>
    <w:rsid w:val="005F53BB"/>
    <w:rsid w:val="005F7FDA"/>
    <w:rsid w:val="00616B58"/>
    <w:rsid w:val="00617A81"/>
    <w:rsid w:val="0062003C"/>
    <w:rsid w:val="00630085"/>
    <w:rsid w:val="00633BAA"/>
    <w:rsid w:val="006519EA"/>
    <w:rsid w:val="006569D1"/>
    <w:rsid w:val="00657443"/>
    <w:rsid w:val="00662FC4"/>
    <w:rsid w:val="00671008"/>
    <w:rsid w:val="00672305"/>
    <w:rsid w:val="00675F07"/>
    <w:rsid w:val="006940E8"/>
    <w:rsid w:val="006A5CA1"/>
    <w:rsid w:val="006C24DF"/>
    <w:rsid w:val="006C3ACE"/>
    <w:rsid w:val="006C697D"/>
    <w:rsid w:val="006E33F9"/>
    <w:rsid w:val="006E4BF5"/>
    <w:rsid w:val="006F74C0"/>
    <w:rsid w:val="00703393"/>
    <w:rsid w:val="00703649"/>
    <w:rsid w:val="0070442D"/>
    <w:rsid w:val="00713242"/>
    <w:rsid w:val="00726F66"/>
    <w:rsid w:val="0073131F"/>
    <w:rsid w:val="007314CA"/>
    <w:rsid w:val="007435D8"/>
    <w:rsid w:val="00745DE7"/>
    <w:rsid w:val="007465A2"/>
    <w:rsid w:val="00746873"/>
    <w:rsid w:val="00754F5F"/>
    <w:rsid w:val="00755A7E"/>
    <w:rsid w:val="007608F7"/>
    <w:rsid w:val="00760B3D"/>
    <w:rsid w:val="00760D60"/>
    <w:rsid w:val="00777FCD"/>
    <w:rsid w:val="007958E7"/>
    <w:rsid w:val="007A14F2"/>
    <w:rsid w:val="007A3042"/>
    <w:rsid w:val="007A76EE"/>
    <w:rsid w:val="007B0716"/>
    <w:rsid w:val="007B6214"/>
    <w:rsid w:val="007B7E86"/>
    <w:rsid w:val="007C1C7F"/>
    <w:rsid w:val="007C24F8"/>
    <w:rsid w:val="008028E3"/>
    <w:rsid w:val="00802CCF"/>
    <w:rsid w:val="008101B0"/>
    <w:rsid w:val="008123FC"/>
    <w:rsid w:val="00830F75"/>
    <w:rsid w:val="008341C4"/>
    <w:rsid w:val="00845611"/>
    <w:rsid w:val="00851668"/>
    <w:rsid w:val="008611BA"/>
    <w:rsid w:val="00866918"/>
    <w:rsid w:val="00870399"/>
    <w:rsid w:val="008774E8"/>
    <w:rsid w:val="0088081F"/>
    <w:rsid w:val="00883ABF"/>
    <w:rsid w:val="00893BA2"/>
    <w:rsid w:val="00895BBF"/>
    <w:rsid w:val="008A2E7F"/>
    <w:rsid w:val="008A5B7F"/>
    <w:rsid w:val="008B03B5"/>
    <w:rsid w:val="008B5553"/>
    <w:rsid w:val="008C19F8"/>
    <w:rsid w:val="008C27CE"/>
    <w:rsid w:val="008C6131"/>
    <w:rsid w:val="008C7B91"/>
    <w:rsid w:val="008D72C7"/>
    <w:rsid w:val="008E3215"/>
    <w:rsid w:val="008E336C"/>
    <w:rsid w:val="008E401C"/>
    <w:rsid w:val="008F0A39"/>
    <w:rsid w:val="00913B76"/>
    <w:rsid w:val="00920301"/>
    <w:rsid w:val="009237AB"/>
    <w:rsid w:val="00947630"/>
    <w:rsid w:val="009705A6"/>
    <w:rsid w:val="00973A9F"/>
    <w:rsid w:val="00986D4C"/>
    <w:rsid w:val="00987BBF"/>
    <w:rsid w:val="00992D26"/>
    <w:rsid w:val="009A1CC4"/>
    <w:rsid w:val="009A44B5"/>
    <w:rsid w:val="009B004C"/>
    <w:rsid w:val="009C013B"/>
    <w:rsid w:val="009C030F"/>
    <w:rsid w:val="009C6742"/>
    <w:rsid w:val="009D29F7"/>
    <w:rsid w:val="009D303D"/>
    <w:rsid w:val="009D5761"/>
    <w:rsid w:val="009E2000"/>
    <w:rsid w:val="009E589B"/>
    <w:rsid w:val="00A05320"/>
    <w:rsid w:val="00A06B11"/>
    <w:rsid w:val="00A1209F"/>
    <w:rsid w:val="00A14718"/>
    <w:rsid w:val="00A213FD"/>
    <w:rsid w:val="00A21CEE"/>
    <w:rsid w:val="00A26CEA"/>
    <w:rsid w:val="00A32C7C"/>
    <w:rsid w:val="00A347D9"/>
    <w:rsid w:val="00A35FEF"/>
    <w:rsid w:val="00A40023"/>
    <w:rsid w:val="00A441BD"/>
    <w:rsid w:val="00A47D7E"/>
    <w:rsid w:val="00A55E81"/>
    <w:rsid w:val="00A614CB"/>
    <w:rsid w:val="00A66068"/>
    <w:rsid w:val="00A71588"/>
    <w:rsid w:val="00A7200F"/>
    <w:rsid w:val="00A76FF2"/>
    <w:rsid w:val="00A8177D"/>
    <w:rsid w:val="00A81CD5"/>
    <w:rsid w:val="00A8710B"/>
    <w:rsid w:val="00AA564B"/>
    <w:rsid w:val="00AA7161"/>
    <w:rsid w:val="00AC20A3"/>
    <w:rsid w:val="00AC26AF"/>
    <w:rsid w:val="00AD219B"/>
    <w:rsid w:val="00AD357A"/>
    <w:rsid w:val="00AD79B1"/>
    <w:rsid w:val="00AF4909"/>
    <w:rsid w:val="00B03A84"/>
    <w:rsid w:val="00B04FAD"/>
    <w:rsid w:val="00B06233"/>
    <w:rsid w:val="00B175E1"/>
    <w:rsid w:val="00B20955"/>
    <w:rsid w:val="00B24661"/>
    <w:rsid w:val="00B307CB"/>
    <w:rsid w:val="00B315F9"/>
    <w:rsid w:val="00B325B8"/>
    <w:rsid w:val="00B423A6"/>
    <w:rsid w:val="00B45A0D"/>
    <w:rsid w:val="00B47875"/>
    <w:rsid w:val="00B5553B"/>
    <w:rsid w:val="00B71682"/>
    <w:rsid w:val="00B73858"/>
    <w:rsid w:val="00B73D06"/>
    <w:rsid w:val="00B73D8C"/>
    <w:rsid w:val="00B77739"/>
    <w:rsid w:val="00B923AD"/>
    <w:rsid w:val="00BA4751"/>
    <w:rsid w:val="00BB707B"/>
    <w:rsid w:val="00BB7BD1"/>
    <w:rsid w:val="00BF5BCC"/>
    <w:rsid w:val="00C007E1"/>
    <w:rsid w:val="00C06DCD"/>
    <w:rsid w:val="00C11AAC"/>
    <w:rsid w:val="00C1210F"/>
    <w:rsid w:val="00C22F50"/>
    <w:rsid w:val="00C27072"/>
    <w:rsid w:val="00C34406"/>
    <w:rsid w:val="00C40B33"/>
    <w:rsid w:val="00C41785"/>
    <w:rsid w:val="00C42D9E"/>
    <w:rsid w:val="00C42DD9"/>
    <w:rsid w:val="00C57289"/>
    <w:rsid w:val="00C72E37"/>
    <w:rsid w:val="00C84A3A"/>
    <w:rsid w:val="00C9203F"/>
    <w:rsid w:val="00C97281"/>
    <w:rsid w:val="00CA18E8"/>
    <w:rsid w:val="00CC0701"/>
    <w:rsid w:val="00CC17BE"/>
    <w:rsid w:val="00CC2DF6"/>
    <w:rsid w:val="00CD0A97"/>
    <w:rsid w:val="00CD21B4"/>
    <w:rsid w:val="00CD7AED"/>
    <w:rsid w:val="00CE2582"/>
    <w:rsid w:val="00D07B47"/>
    <w:rsid w:val="00D23BA7"/>
    <w:rsid w:val="00D251BB"/>
    <w:rsid w:val="00D26078"/>
    <w:rsid w:val="00D27385"/>
    <w:rsid w:val="00D531F4"/>
    <w:rsid w:val="00D6582F"/>
    <w:rsid w:val="00D6626E"/>
    <w:rsid w:val="00D73045"/>
    <w:rsid w:val="00D768F2"/>
    <w:rsid w:val="00D9258E"/>
    <w:rsid w:val="00DA4FCB"/>
    <w:rsid w:val="00DA728B"/>
    <w:rsid w:val="00DB48DB"/>
    <w:rsid w:val="00DC4A5F"/>
    <w:rsid w:val="00E00E36"/>
    <w:rsid w:val="00E0253B"/>
    <w:rsid w:val="00E110D9"/>
    <w:rsid w:val="00E309FE"/>
    <w:rsid w:val="00E35356"/>
    <w:rsid w:val="00E6223F"/>
    <w:rsid w:val="00E72684"/>
    <w:rsid w:val="00E82799"/>
    <w:rsid w:val="00EA3B40"/>
    <w:rsid w:val="00EA685E"/>
    <w:rsid w:val="00EB3528"/>
    <w:rsid w:val="00EB7B3B"/>
    <w:rsid w:val="00EC18ED"/>
    <w:rsid w:val="00EF5F06"/>
    <w:rsid w:val="00EF7A5C"/>
    <w:rsid w:val="00F05905"/>
    <w:rsid w:val="00F41EB7"/>
    <w:rsid w:val="00F51052"/>
    <w:rsid w:val="00F51E99"/>
    <w:rsid w:val="00F53888"/>
    <w:rsid w:val="00F53DF5"/>
    <w:rsid w:val="00F70584"/>
    <w:rsid w:val="00F70A2B"/>
    <w:rsid w:val="00F70DC9"/>
    <w:rsid w:val="00F71169"/>
    <w:rsid w:val="00F71F80"/>
    <w:rsid w:val="00F72940"/>
    <w:rsid w:val="00F74697"/>
    <w:rsid w:val="00F91721"/>
    <w:rsid w:val="00F939D7"/>
    <w:rsid w:val="00F93B33"/>
    <w:rsid w:val="00F9656E"/>
    <w:rsid w:val="00F978DC"/>
    <w:rsid w:val="00FA24BA"/>
    <w:rsid w:val="00FA58C0"/>
    <w:rsid w:val="00FB2DC5"/>
    <w:rsid w:val="00FB7B1B"/>
    <w:rsid w:val="00FF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14DA8-2548-46C9-AC4E-18B54EC5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01_Заголовок 1"/>
    <w:basedOn w:val="a"/>
    <w:next w:val="a"/>
    <w:link w:val="10"/>
    <w:uiPriority w:val="9"/>
    <w:qFormat/>
    <w:rsid w:val="00F9656E"/>
    <w:pPr>
      <w:keepNext/>
      <w:keepLines/>
      <w:spacing w:before="240" w:after="0"/>
      <w:outlineLvl w:val="0"/>
    </w:pPr>
    <w:rPr>
      <w:rFonts w:asciiTheme="majorHAnsi" w:eastAsia="Times New Roman" w:hAnsiTheme="majorHAnsi" w:cstheme="majorBidi"/>
      <w:cap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5BCC"/>
    <w:pPr>
      <w:spacing w:before="120" w:after="160" w:line="240" w:lineRule="auto"/>
      <w:ind w:left="720"/>
      <w:contextualSpacing/>
      <w:jc w:val="both"/>
    </w:pPr>
    <w:rPr>
      <w:rFonts w:ascii="Times New Roman" w:hAnsi="Times New Roman"/>
      <w:sz w:val="24"/>
    </w:rPr>
  </w:style>
  <w:style w:type="paragraph" w:styleId="a4">
    <w:name w:val="Balloon Text"/>
    <w:basedOn w:val="a"/>
    <w:link w:val="a5"/>
    <w:uiPriority w:val="99"/>
    <w:semiHidden/>
    <w:unhideWhenUsed/>
    <w:rsid w:val="00BF5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BCC"/>
    <w:rPr>
      <w:rFonts w:ascii="Tahoma" w:hAnsi="Tahoma" w:cs="Tahoma"/>
      <w:sz w:val="16"/>
      <w:szCs w:val="16"/>
    </w:rPr>
  </w:style>
  <w:style w:type="character" w:customStyle="1" w:styleId="10">
    <w:name w:val="Заголовок 1 Знак"/>
    <w:aliases w:val="01_Заголовок 1 Знак"/>
    <w:basedOn w:val="a0"/>
    <w:link w:val="1"/>
    <w:uiPriority w:val="9"/>
    <w:rsid w:val="00F9656E"/>
    <w:rPr>
      <w:rFonts w:asciiTheme="majorHAnsi" w:eastAsia="Times New Roman" w:hAnsiTheme="majorHAnsi" w:cstheme="majorBidi"/>
      <w:caps/>
      <w:color w:val="365F91" w:themeColor="accent1" w:themeShade="BF"/>
      <w:sz w:val="28"/>
      <w:szCs w:val="28"/>
      <w:lang w:eastAsia="ru-RU"/>
    </w:rPr>
  </w:style>
  <w:style w:type="character" w:styleId="a6">
    <w:name w:val="Hyperlink"/>
    <w:basedOn w:val="a0"/>
    <w:uiPriority w:val="99"/>
    <w:semiHidden/>
    <w:unhideWhenUsed/>
    <w:rsid w:val="00187278"/>
    <w:rPr>
      <w:strike w:val="0"/>
      <w:dstrike w:val="0"/>
      <w:color w:val="666699"/>
      <w:u w:val="none"/>
      <w:effect w:val="none"/>
    </w:rPr>
  </w:style>
  <w:style w:type="paragraph" w:styleId="a7">
    <w:name w:val="Body Text Indent"/>
    <w:basedOn w:val="a"/>
    <w:link w:val="a8"/>
    <w:uiPriority w:val="99"/>
    <w:unhideWhenUsed/>
    <w:rsid w:val="00870399"/>
    <w:pPr>
      <w:spacing w:after="120"/>
      <w:ind w:left="283"/>
    </w:pPr>
  </w:style>
  <w:style w:type="character" w:customStyle="1" w:styleId="a8">
    <w:name w:val="Основной текст с отступом Знак"/>
    <w:basedOn w:val="a0"/>
    <w:link w:val="a7"/>
    <w:uiPriority w:val="99"/>
    <w:rsid w:val="00870399"/>
  </w:style>
  <w:style w:type="paragraph" w:styleId="a9">
    <w:name w:val="header"/>
    <w:basedOn w:val="a"/>
    <w:link w:val="aa"/>
    <w:uiPriority w:val="99"/>
    <w:unhideWhenUsed/>
    <w:rsid w:val="001C50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50C6"/>
  </w:style>
  <w:style w:type="paragraph" w:styleId="ab">
    <w:name w:val="footer"/>
    <w:basedOn w:val="a"/>
    <w:link w:val="ac"/>
    <w:uiPriority w:val="99"/>
    <w:unhideWhenUsed/>
    <w:rsid w:val="001C50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50C6"/>
  </w:style>
  <w:style w:type="table" w:styleId="ad">
    <w:name w:val="Table Grid"/>
    <w:basedOn w:val="a1"/>
    <w:uiPriority w:val="59"/>
    <w:rsid w:val="00C8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79A9"/>
    <w:rPr>
      <w:sz w:val="16"/>
      <w:szCs w:val="16"/>
    </w:rPr>
  </w:style>
  <w:style w:type="paragraph" w:styleId="af">
    <w:name w:val="annotation text"/>
    <w:basedOn w:val="a"/>
    <w:link w:val="af0"/>
    <w:uiPriority w:val="99"/>
    <w:semiHidden/>
    <w:unhideWhenUsed/>
    <w:rsid w:val="004A79A9"/>
    <w:pPr>
      <w:spacing w:line="240" w:lineRule="auto"/>
    </w:pPr>
    <w:rPr>
      <w:sz w:val="20"/>
      <w:szCs w:val="20"/>
    </w:rPr>
  </w:style>
  <w:style w:type="character" w:customStyle="1" w:styleId="af0">
    <w:name w:val="Текст примечания Знак"/>
    <w:basedOn w:val="a0"/>
    <w:link w:val="af"/>
    <w:uiPriority w:val="99"/>
    <w:semiHidden/>
    <w:rsid w:val="004A79A9"/>
    <w:rPr>
      <w:sz w:val="20"/>
      <w:szCs w:val="20"/>
    </w:rPr>
  </w:style>
  <w:style w:type="paragraph" w:styleId="af1">
    <w:name w:val="annotation subject"/>
    <w:basedOn w:val="af"/>
    <w:next w:val="af"/>
    <w:link w:val="af2"/>
    <w:uiPriority w:val="99"/>
    <w:semiHidden/>
    <w:unhideWhenUsed/>
    <w:rsid w:val="004A79A9"/>
    <w:rPr>
      <w:b/>
      <w:bCs/>
    </w:rPr>
  </w:style>
  <w:style w:type="character" w:customStyle="1" w:styleId="af2">
    <w:name w:val="Тема примечания Знак"/>
    <w:basedOn w:val="af0"/>
    <w:link w:val="af1"/>
    <w:uiPriority w:val="99"/>
    <w:semiHidden/>
    <w:rsid w:val="004A79A9"/>
    <w:rPr>
      <w:b/>
      <w:bCs/>
      <w:sz w:val="20"/>
      <w:szCs w:val="20"/>
    </w:rPr>
  </w:style>
  <w:style w:type="paragraph" w:customStyle="1" w:styleId="20102">
    <w:name w:val="!!!_____2010_Текст в 2 колонки"/>
    <w:basedOn w:val="a"/>
    <w:uiPriority w:val="99"/>
    <w:rsid w:val="000B6ED0"/>
    <w:pPr>
      <w:autoSpaceDE w:val="0"/>
      <w:autoSpaceDN w:val="0"/>
      <w:adjustRightInd w:val="0"/>
      <w:spacing w:before="120" w:after="0" w:line="280" w:lineRule="atLeast"/>
      <w:ind w:firstLine="283"/>
      <w:jc w:val="both"/>
    </w:pPr>
    <w:rPr>
      <w:rFonts w:ascii="Times New Roman" w:hAnsi="Times New Roman" w:cs="Times New Roman"/>
      <w:color w:val="000000"/>
    </w:rPr>
  </w:style>
  <w:style w:type="character" w:customStyle="1" w:styleId="Bodytext4">
    <w:name w:val="Body text (4)_"/>
    <w:basedOn w:val="a0"/>
    <w:link w:val="Bodytext40"/>
    <w:rsid w:val="004636C5"/>
    <w:rPr>
      <w:rFonts w:ascii="Times New Roman" w:eastAsia="Times New Roman" w:hAnsi="Times New Roman" w:cs="Times New Roman"/>
      <w:b/>
      <w:bCs/>
      <w:i/>
      <w:iCs/>
      <w:sz w:val="26"/>
      <w:szCs w:val="26"/>
      <w:shd w:val="clear" w:color="auto" w:fill="FFFFFF"/>
    </w:rPr>
  </w:style>
  <w:style w:type="paragraph" w:customStyle="1" w:styleId="Bodytext40">
    <w:name w:val="Body text (4)"/>
    <w:basedOn w:val="a"/>
    <w:link w:val="Bodytext4"/>
    <w:rsid w:val="004636C5"/>
    <w:pPr>
      <w:widowControl w:val="0"/>
      <w:shd w:val="clear" w:color="auto" w:fill="FFFFFF"/>
      <w:spacing w:before="180" w:after="60" w:line="320" w:lineRule="exact"/>
      <w:jc w:val="both"/>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687753271">
      <w:bodyDiv w:val="1"/>
      <w:marLeft w:val="0"/>
      <w:marRight w:val="0"/>
      <w:marTop w:val="0"/>
      <w:marBottom w:val="0"/>
      <w:divBdr>
        <w:top w:val="none" w:sz="0" w:space="0" w:color="auto"/>
        <w:left w:val="none" w:sz="0" w:space="0" w:color="auto"/>
        <w:bottom w:val="none" w:sz="0" w:space="0" w:color="auto"/>
        <w:right w:val="none" w:sz="0" w:space="0" w:color="auto"/>
      </w:divBdr>
    </w:div>
    <w:div w:id="735055949">
      <w:bodyDiv w:val="1"/>
      <w:marLeft w:val="0"/>
      <w:marRight w:val="0"/>
      <w:marTop w:val="0"/>
      <w:marBottom w:val="0"/>
      <w:divBdr>
        <w:top w:val="none" w:sz="0" w:space="0" w:color="auto"/>
        <w:left w:val="none" w:sz="0" w:space="0" w:color="auto"/>
        <w:bottom w:val="none" w:sz="0" w:space="0" w:color="auto"/>
        <w:right w:val="none" w:sz="0" w:space="0" w:color="auto"/>
      </w:divBdr>
    </w:div>
    <w:div w:id="759179830">
      <w:bodyDiv w:val="1"/>
      <w:marLeft w:val="0"/>
      <w:marRight w:val="0"/>
      <w:marTop w:val="0"/>
      <w:marBottom w:val="0"/>
      <w:divBdr>
        <w:top w:val="none" w:sz="0" w:space="0" w:color="auto"/>
        <w:left w:val="none" w:sz="0" w:space="0" w:color="auto"/>
        <w:bottom w:val="none" w:sz="0" w:space="0" w:color="auto"/>
        <w:right w:val="none" w:sz="0" w:space="0" w:color="auto"/>
      </w:divBdr>
    </w:div>
    <w:div w:id="784812652">
      <w:bodyDiv w:val="1"/>
      <w:marLeft w:val="0"/>
      <w:marRight w:val="0"/>
      <w:marTop w:val="0"/>
      <w:marBottom w:val="0"/>
      <w:divBdr>
        <w:top w:val="none" w:sz="0" w:space="0" w:color="auto"/>
        <w:left w:val="none" w:sz="0" w:space="0" w:color="auto"/>
        <w:bottom w:val="none" w:sz="0" w:space="0" w:color="auto"/>
        <w:right w:val="none" w:sz="0" w:space="0" w:color="auto"/>
      </w:divBdr>
    </w:div>
    <w:div w:id="799029109">
      <w:bodyDiv w:val="1"/>
      <w:marLeft w:val="0"/>
      <w:marRight w:val="0"/>
      <w:marTop w:val="0"/>
      <w:marBottom w:val="0"/>
      <w:divBdr>
        <w:top w:val="none" w:sz="0" w:space="0" w:color="auto"/>
        <w:left w:val="none" w:sz="0" w:space="0" w:color="auto"/>
        <w:bottom w:val="none" w:sz="0" w:space="0" w:color="auto"/>
        <w:right w:val="none" w:sz="0" w:space="0" w:color="auto"/>
      </w:divBdr>
    </w:div>
    <w:div w:id="1132558952">
      <w:bodyDiv w:val="1"/>
      <w:marLeft w:val="0"/>
      <w:marRight w:val="0"/>
      <w:marTop w:val="0"/>
      <w:marBottom w:val="0"/>
      <w:divBdr>
        <w:top w:val="none" w:sz="0" w:space="0" w:color="auto"/>
        <w:left w:val="none" w:sz="0" w:space="0" w:color="auto"/>
        <w:bottom w:val="none" w:sz="0" w:space="0" w:color="auto"/>
        <w:right w:val="none" w:sz="0" w:space="0" w:color="auto"/>
      </w:divBdr>
    </w:div>
    <w:div w:id="1806316002">
      <w:bodyDiv w:val="1"/>
      <w:marLeft w:val="0"/>
      <w:marRight w:val="0"/>
      <w:marTop w:val="0"/>
      <w:marBottom w:val="0"/>
      <w:divBdr>
        <w:top w:val="none" w:sz="0" w:space="0" w:color="auto"/>
        <w:left w:val="none" w:sz="0" w:space="0" w:color="auto"/>
        <w:bottom w:val="none" w:sz="0" w:space="0" w:color="auto"/>
        <w:right w:val="none" w:sz="0" w:space="0" w:color="auto"/>
      </w:divBdr>
    </w:div>
    <w:div w:id="1921938979">
      <w:bodyDiv w:val="1"/>
      <w:marLeft w:val="0"/>
      <w:marRight w:val="0"/>
      <w:marTop w:val="0"/>
      <w:marBottom w:val="0"/>
      <w:divBdr>
        <w:top w:val="none" w:sz="0" w:space="0" w:color="auto"/>
        <w:left w:val="none" w:sz="0" w:space="0" w:color="auto"/>
        <w:bottom w:val="none" w:sz="0" w:space="0" w:color="auto"/>
        <w:right w:val="none" w:sz="0" w:space="0" w:color="auto"/>
      </w:divBdr>
    </w:div>
    <w:div w:id="1954627085">
      <w:bodyDiv w:val="1"/>
      <w:marLeft w:val="0"/>
      <w:marRight w:val="0"/>
      <w:marTop w:val="0"/>
      <w:marBottom w:val="0"/>
      <w:divBdr>
        <w:top w:val="none" w:sz="0" w:space="0" w:color="auto"/>
        <w:left w:val="none" w:sz="0" w:space="0" w:color="auto"/>
        <w:bottom w:val="none" w:sz="0" w:space="0" w:color="auto"/>
        <w:right w:val="none" w:sz="0" w:space="0" w:color="auto"/>
      </w:divBdr>
    </w:div>
    <w:div w:id="2093312232">
      <w:bodyDiv w:val="1"/>
      <w:marLeft w:val="0"/>
      <w:marRight w:val="0"/>
      <w:marTop w:val="0"/>
      <w:marBottom w:val="0"/>
      <w:divBdr>
        <w:top w:val="none" w:sz="0" w:space="0" w:color="auto"/>
        <w:left w:val="none" w:sz="0" w:space="0" w:color="auto"/>
        <w:bottom w:val="none" w:sz="0" w:space="0" w:color="auto"/>
        <w:right w:val="none" w:sz="0" w:space="0" w:color="auto"/>
      </w:divBdr>
    </w:div>
    <w:div w:id="21269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monitori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BDDD-51AE-4154-A2B7-35919AF1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Валуйскова Елена Васильевна</dc:creator>
  <cp:lastModifiedBy>Валуйскова Елена Васильевна</cp:lastModifiedBy>
  <cp:revision>6</cp:revision>
  <cp:lastPrinted>2021-11-23T12:02:00Z</cp:lastPrinted>
  <dcterms:created xsi:type="dcterms:W3CDTF">2021-11-23T13:06:00Z</dcterms:created>
  <dcterms:modified xsi:type="dcterms:W3CDTF">2021-11-23T13:24:00Z</dcterms:modified>
</cp:coreProperties>
</file>