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AC" w:rsidRPr="00740900" w:rsidRDefault="008670D8" w:rsidP="00740900">
      <w:pPr>
        <w:spacing w:after="0" w:line="240" w:lineRule="auto"/>
        <w:jc w:val="center"/>
        <w:rPr>
          <w:rFonts w:ascii="Times New Roman" w:hAnsi="Times New Roman" w:cs="Times New Roman"/>
          <w:b/>
          <w:bCs/>
          <w:caps/>
          <w:sz w:val="24"/>
          <w:szCs w:val="24"/>
        </w:rPr>
      </w:pPr>
      <w:bookmarkStart w:id="0" w:name="_GoBack"/>
      <w:bookmarkEnd w:id="0"/>
      <w:r>
        <w:rPr>
          <w:rFonts w:ascii="Times New Roman" w:hAnsi="Times New Roman" w:cs="Times New Roman"/>
          <w:b/>
          <w:bCs/>
          <w:caps/>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4893945</wp:posOffset>
                </wp:positionH>
                <wp:positionV relativeFrom="paragraph">
                  <wp:posOffset>-430530</wp:posOffset>
                </wp:positionV>
                <wp:extent cx="1127760" cy="342900"/>
                <wp:effectExtent l="1905" t="381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0D8" w:rsidRPr="00EB59B3" w:rsidRDefault="008670D8">
                            <w:pPr>
                              <w:rPr>
                                <w:rFonts w:asciiTheme="majorHAnsi" w:hAnsiTheme="majorHAnsi"/>
                                <w:b/>
                                <w:color w:val="808080" w:themeColor="background1" w:themeShade="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35pt;margin-top:-33.9pt;width:88.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xogwIAAA8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" stroked="f">
                <v:textbox>
                  <w:txbxContent>
                    <w:p w:rsidR="008670D8" w:rsidRPr="00EB59B3" w:rsidRDefault="008670D8">
                      <w:pPr>
                        <w:rPr>
                          <w:rFonts w:asciiTheme="majorHAnsi" w:hAnsiTheme="majorHAnsi"/>
                          <w:b/>
                          <w:color w:val="808080" w:themeColor="background1" w:themeShade="80"/>
                          <w:sz w:val="28"/>
                          <w:szCs w:val="28"/>
                        </w:rPr>
                      </w:pPr>
                    </w:p>
                  </w:txbxContent>
                </v:textbox>
              </v:shape>
            </w:pict>
          </mc:Fallback>
        </mc:AlternateContent>
      </w:r>
    </w:p>
    <w:p w:rsidR="00E8101A" w:rsidRPr="001C6395" w:rsidRDefault="008B14AC" w:rsidP="00E8101A">
      <w:pPr>
        <w:spacing w:after="0" w:line="300" w:lineRule="auto"/>
        <w:jc w:val="center"/>
        <w:rPr>
          <w:rFonts w:ascii="Times New Roman" w:hAnsi="Times New Roman" w:cs="Times New Roman"/>
          <w:b/>
          <w:bCs/>
          <w:caps/>
          <w:spacing w:val="60"/>
          <w:sz w:val="26"/>
          <w:szCs w:val="26"/>
        </w:rPr>
      </w:pPr>
      <w:r w:rsidRPr="00E8101A">
        <w:rPr>
          <w:rFonts w:ascii="Times New Roman" w:hAnsi="Times New Roman" w:cs="Times New Roman"/>
          <w:b/>
          <w:bCs/>
          <w:caps/>
          <w:spacing w:val="60"/>
          <w:sz w:val="26"/>
          <w:szCs w:val="26"/>
        </w:rPr>
        <w:t xml:space="preserve">Решение </w:t>
      </w:r>
    </w:p>
    <w:p w:rsidR="008B14AC" w:rsidRPr="00740900" w:rsidRDefault="008B14AC" w:rsidP="00E8101A">
      <w:pPr>
        <w:spacing w:after="0" w:line="264" w:lineRule="auto"/>
        <w:jc w:val="center"/>
        <w:rPr>
          <w:rFonts w:ascii="Times New Roman" w:hAnsi="Times New Roman" w:cs="Times New Roman"/>
          <w:b/>
          <w:bCs/>
          <w:caps/>
          <w:sz w:val="24"/>
          <w:szCs w:val="24"/>
        </w:rPr>
      </w:pPr>
      <w:r w:rsidRPr="00740900">
        <w:rPr>
          <w:rFonts w:ascii="Times New Roman" w:hAnsi="Times New Roman" w:cs="Times New Roman"/>
          <w:b/>
          <w:bCs/>
          <w:caps/>
          <w:sz w:val="24"/>
          <w:szCs w:val="24"/>
        </w:rPr>
        <w:t xml:space="preserve">Международной научно-практической конференции </w:t>
      </w:r>
    </w:p>
    <w:p w:rsidR="008B14AC" w:rsidRPr="00740900" w:rsidRDefault="008B14AC" w:rsidP="00E8101A">
      <w:pPr>
        <w:spacing w:after="0" w:line="264" w:lineRule="auto"/>
        <w:jc w:val="center"/>
        <w:rPr>
          <w:rFonts w:ascii="Times New Roman" w:hAnsi="Times New Roman" w:cs="Times New Roman"/>
          <w:b/>
          <w:bCs/>
          <w:caps/>
          <w:color w:val="000000"/>
          <w:sz w:val="24"/>
          <w:szCs w:val="24"/>
          <w:lang w:eastAsia="ru-RU"/>
        </w:rPr>
      </w:pPr>
      <w:r w:rsidRPr="00740900">
        <w:rPr>
          <w:rFonts w:ascii="Times New Roman" w:hAnsi="Times New Roman" w:cs="Times New Roman"/>
          <w:b/>
          <w:bCs/>
          <w:caps/>
          <w:color w:val="000000"/>
          <w:sz w:val="24"/>
          <w:szCs w:val="24"/>
          <w:lang w:eastAsia="ru-RU"/>
        </w:rPr>
        <w:t xml:space="preserve">«Промышленные минералы:  проблемы  прогноза,  поисков, </w:t>
      </w:r>
    </w:p>
    <w:p w:rsidR="008B14AC" w:rsidRPr="00740900" w:rsidRDefault="008B14AC" w:rsidP="00E8101A">
      <w:pPr>
        <w:spacing w:after="0" w:line="264" w:lineRule="auto"/>
        <w:jc w:val="center"/>
        <w:rPr>
          <w:rFonts w:ascii="Times New Roman" w:hAnsi="Times New Roman" w:cs="Times New Roman"/>
          <w:b/>
          <w:bCs/>
          <w:caps/>
          <w:color w:val="000000"/>
          <w:sz w:val="24"/>
          <w:szCs w:val="24"/>
          <w:lang w:eastAsia="ru-RU"/>
        </w:rPr>
      </w:pPr>
      <w:r w:rsidRPr="00740900">
        <w:rPr>
          <w:rFonts w:ascii="Times New Roman" w:hAnsi="Times New Roman" w:cs="Times New Roman"/>
          <w:b/>
          <w:bCs/>
          <w:caps/>
          <w:color w:val="000000"/>
          <w:sz w:val="24"/>
          <w:szCs w:val="24"/>
          <w:lang w:eastAsia="ru-RU"/>
        </w:rPr>
        <w:t xml:space="preserve"> оценки  и  инновационные технологии освоения </w:t>
      </w:r>
    </w:p>
    <w:p w:rsidR="008B14AC" w:rsidRPr="00740900" w:rsidRDefault="008B14AC" w:rsidP="00740900">
      <w:pPr>
        <w:spacing w:after="0" w:line="240" w:lineRule="auto"/>
        <w:jc w:val="center"/>
        <w:rPr>
          <w:rFonts w:ascii="Times New Roman" w:hAnsi="Times New Roman" w:cs="Times New Roman"/>
          <w:b/>
          <w:bCs/>
          <w:caps/>
          <w:color w:val="000000"/>
          <w:sz w:val="24"/>
          <w:szCs w:val="24"/>
          <w:lang w:eastAsia="ru-RU"/>
        </w:rPr>
      </w:pPr>
      <w:r w:rsidRPr="00740900">
        <w:rPr>
          <w:rFonts w:ascii="Times New Roman" w:hAnsi="Times New Roman" w:cs="Times New Roman"/>
          <w:b/>
          <w:bCs/>
          <w:caps/>
          <w:color w:val="000000"/>
          <w:sz w:val="24"/>
          <w:szCs w:val="24"/>
          <w:lang w:eastAsia="ru-RU"/>
        </w:rPr>
        <w:t>месторождений»</w:t>
      </w:r>
    </w:p>
    <w:p w:rsidR="008B14AC" w:rsidRPr="00740900" w:rsidRDefault="008B14AC" w:rsidP="00740900">
      <w:pPr>
        <w:spacing w:after="0" w:line="240" w:lineRule="auto"/>
        <w:jc w:val="center"/>
        <w:rPr>
          <w:rFonts w:ascii="Times New Roman" w:hAnsi="Times New Roman" w:cs="Times New Roman"/>
          <w:b/>
          <w:bCs/>
          <w:caps/>
          <w:color w:val="000000"/>
          <w:sz w:val="24"/>
          <w:szCs w:val="24"/>
          <w:lang w:eastAsia="ru-RU"/>
        </w:rPr>
      </w:pPr>
    </w:p>
    <w:p w:rsidR="008B14AC" w:rsidRPr="00740900" w:rsidRDefault="00E8101A" w:rsidP="00E8101A">
      <w:pPr>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w:t>
      </w:r>
      <w:r w:rsidR="008B14AC" w:rsidRPr="00740900">
        <w:rPr>
          <w:rFonts w:ascii="Times New Roman" w:hAnsi="Times New Roman" w:cs="Times New Roman"/>
          <w:b/>
          <w:bCs/>
          <w:color w:val="000000"/>
          <w:sz w:val="24"/>
          <w:szCs w:val="24"/>
          <w:lang w:eastAsia="ru-RU"/>
        </w:rPr>
        <w:t>ФГУП «</w:t>
      </w:r>
      <w:proofErr w:type="spellStart"/>
      <w:r w:rsidR="008B14AC" w:rsidRPr="00740900">
        <w:rPr>
          <w:rFonts w:ascii="Times New Roman" w:hAnsi="Times New Roman" w:cs="Times New Roman"/>
          <w:b/>
          <w:bCs/>
          <w:color w:val="000000"/>
          <w:sz w:val="24"/>
          <w:szCs w:val="24"/>
          <w:lang w:eastAsia="ru-RU"/>
        </w:rPr>
        <w:t>ЦНИИгеолнеруд</w:t>
      </w:r>
      <w:proofErr w:type="spellEnd"/>
      <w:r w:rsidR="008B14AC" w:rsidRPr="00740900">
        <w:rPr>
          <w:rFonts w:ascii="Times New Roman" w:hAnsi="Times New Roman" w:cs="Times New Roman"/>
          <w:b/>
          <w:bCs/>
          <w:color w:val="000000"/>
          <w:sz w:val="24"/>
          <w:szCs w:val="24"/>
          <w:lang w:eastAsia="ru-RU"/>
        </w:rPr>
        <w:t>»,  Казань, 9-13 ноября 2015 г</w:t>
      </w:r>
      <w:r>
        <w:rPr>
          <w:rFonts w:ascii="Times New Roman" w:hAnsi="Times New Roman" w:cs="Times New Roman"/>
          <w:b/>
          <w:bCs/>
          <w:color w:val="000000"/>
          <w:sz w:val="24"/>
          <w:szCs w:val="24"/>
          <w:lang w:eastAsia="ru-RU"/>
        </w:rPr>
        <w:t>./</w:t>
      </w:r>
    </w:p>
    <w:p w:rsidR="008B14AC" w:rsidRDefault="008B14AC" w:rsidP="00C67CE2">
      <w:pPr>
        <w:spacing w:after="0" w:line="240" w:lineRule="auto"/>
        <w:rPr>
          <w:rFonts w:ascii="Times New Roman" w:hAnsi="Times New Roman" w:cs="Times New Roman"/>
          <w:b/>
          <w:bCs/>
          <w:color w:val="000000"/>
          <w:sz w:val="24"/>
          <w:szCs w:val="24"/>
          <w:lang w:eastAsia="ru-RU"/>
        </w:rPr>
      </w:pPr>
    </w:p>
    <w:p w:rsidR="008B14AC" w:rsidRPr="00E8101A" w:rsidRDefault="008B14AC" w:rsidP="00E8101A">
      <w:pPr>
        <w:shd w:val="clear" w:color="auto" w:fill="FFFFFF"/>
        <w:spacing w:after="0" w:line="300" w:lineRule="auto"/>
        <w:ind w:firstLine="567"/>
        <w:jc w:val="both"/>
        <w:rPr>
          <w:rFonts w:ascii="Times New Roman" w:hAnsi="Times New Roman" w:cs="Times New Roman"/>
          <w:color w:val="000000"/>
          <w:sz w:val="26"/>
          <w:szCs w:val="26"/>
          <w:lang w:eastAsia="ru-RU"/>
        </w:rPr>
      </w:pPr>
      <w:r w:rsidRPr="00E8101A">
        <w:rPr>
          <w:rFonts w:ascii="Times New Roman" w:hAnsi="Times New Roman" w:cs="Times New Roman"/>
          <w:color w:val="000000"/>
          <w:sz w:val="26"/>
          <w:szCs w:val="26"/>
          <w:lang w:eastAsia="ru-RU"/>
        </w:rPr>
        <w:t>Конференция организована по инициативе Федерального агентства по недропользованию, Правительства Республики Татарстан и ФГУП «</w:t>
      </w:r>
      <w:proofErr w:type="spellStart"/>
      <w:r w:rsidRPr="00E8101A">
        <w:rPr>
          <w:rFonts w:ascii="Times New Roman" w:hAnsi="Times New Roman" w:cs="Times New Roman"/>
          <w:color w:val="000000"/>
          <w:sz w:val="26"/>
          <w:szCs w:val="26"/>
          <w:lang w:eastAsia="ru-RU"/>
        </w:rPr>
        <w:t>ЦНИИгеолнеруд</w:t>
      </w:r>
      <w:proofErr w:type="spellEnd"/>
      <w:r w:rsidRPr="00E8101A">
        <w:rPr>
          <w:rFonts w:ascii="Times New Roman" w:hAnsi="Times New Roman" w:cs="Times New Roman"/>
          <w:color w:val="000000"/>
          <w:sz w:val="26"/>
          <w:szCs w:val="26"/>
          <w:lang w:eastAsia="ru-RU"/>
        </w:rPr>
        <w:t xml:space="preserve">» с целью обсуждения широкого круга вопросов прогноза, поисков, оценки и освоения месторождений промышленных минералов, мирового рынка промышленных минералов и направлений развития отечественной минерально-сырьевой базы, инновационных технологий оценки качества сырья, добычи, переработки, получения высоколиквидной продукции. </w:t>
      </w:r>
    </w:p>
    <w:p w:rsidR="008B14AC" w:rsidRPr="00E8101A" w:rsidRDefault="008B14AC" w:rsidP="00E8101A">
      <w:pPr>
        <w:shd w:val="clear" w:color="auto" w:fill="FFFFFF"/>
        <w:spacing w:after="0" w:line="300" w:lineRule="auto"/>
        <w:ind w:firstLine="567"/>
        <w:jc w:val="both"/>
        <w:rPr>
          <w:rFonts w:ascii="Times New Roman" w:hAnsi="Times New Roman" w:cs="Times New Roman"/>
          <w:spacing w:val="-2"/>
          <w:sz w:val="26"/>
          <w:szCs w:val="26"/>
        </w:rPr>
      </w:pPr>
      <w:r w:rsidRPr="00E8101A">
        <w:rPr>
          <w:rFonts w:ascii="Times New Roman" w:hAnsi="Times New Roman" w:cs="Times New Roman"/>
          <w:spacing w:val="-2"/>
          <w:sz w:val="26"/>
          <w:szCs w:val="26"/>
        </w:rPr>
        <w:t xml:space="preserve">В работе конференции приняли участие известные российские и зарубежные ученые,  представители  геологических предприятий и институтов, институтов РАН, вузов и организаций различных форм собственности,  руководители геологических служб крупнейших горнодобывающих и перерабатывающих предприятий и </w:t>
      </w:r>
      <w:proofErr w:type="spellStart"/>
      <w:r w:rsidRPr="00E8101A">
        <w:rPr>
          <w:rFonts w:ascii="Times New Roman" w:hAnsi="Times New Roman" w:cs="Times New Roman"/>
          <w:spacing w:val="-2"/>
          <w:sz w:val="26"/>
          <w:szCs w:val="26"/>
        </w:rPr>
        <w:t>недропользователи</w:t>
      </w:r>
      <w:proofErr w:type="spellEnd"/>
      <w:r w:rsidRPr="00E8101A">
        <w:rPr>
          <w:rFonts w:ascii="Times New Roman" w:hAnsi="Times New Roman" w:cs="Times New Roman"/>
          <w:spacing w:val="-2"/>
          <w:sz w:val="26"/>
          <w:szCs w:val="26"/>
        </w:rPr>
        <w:t xml:space="preserve"> из 52 городов России и Зарубежья  (всего более 110 организаций):</w:t>
      </w:r>
    </w:p>
    <w:p w:rsidR="008B14AC" w:rsidRPr="00E8101A" w:rsidRDefault="008B14AC" w:rsidP="00E8101A">
      <w:pPr>
        <w:shd w:val="clear" w:color="auto" w:fill="FFFFFF"/>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b/>
          <w:bCs/>
          <w:i/>
          <w:iCs/>
          <w:sz w:val="26"/>
          <w:szCs w:val="26"/>
        </w:rPr>
        <w:t xml:space="preserve">Федеральные и Территориальные  органы исполнительной власти и общественные организации: </w:t>
      </w:r>
      <w:r w:rsidRPr="00E8101A">
        <w:rPr>
          <w:rFonts w:ascii="Times New Roman" w:hAnsi="Times New Roman" w:cs="Times New Roman"/>
          <w:sz w:val="26"/>
          <w:szCs w:val="26"/>
        </w:rPr>
        <w:t>Федеральное агентство по недропользованию,</w:t>
      </w:r>
      <w:r w:rsidRPr="00E8101A">
        <w:rPr>
          <w:rFonts w:ascii="Times New Roman" w:hAnsi="Times New Roman" w:cs="Times New Roman"/>
          <w:b/>
          <w:bCs/>
          <w:i/>
          <w:iCs/>
          <w:sz w:val="26"/>
          <w:szCs w:val="26"/>
        </w:rPr>
        <w:t xml:space="preserve"> </w:t>
      </w:r>
      <w:r w:rsidRPr="00E8101A">
        <w:rPr>
          <w:rFonts w:ascii="Times New Roman" w:hAnsi="Times New Roman" w:cs="Times New Roman"/>
          <w:sz w:val="26"/>
          <w:szCs w:val="26"/>
        </w:rPr>
        <w:t>Департамент по недропользованию по: Приволжскому ФО, Центральному ФО, Северо-Западному ФО, Северо-Кавказскому ФО; Министерство экологии и природных ресурсов Республики Татарстан, Министерство природопользования и экологии Республики Башкортостан, Общественная палата Республики Татарстан, Российское геологическое общество.</w:t>
      </w:r>
    </w:p>
    <w:p w:rsidR="008B14AC" w:rsidRPr="00E8101A" w:rsidRDefault="008B14AC" w:rsidP="00E8101A">
      <w:pPr>
        <w:shd w:val="clear" w:color="auto" w:fill="FFFFFF"/>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b/>
          <w:bCs/>
          <w:i/>
          <w:iCs/>
          <w:sz w:val="26"/>
          <w:szCs w:val="26"/>
        </w:rPr>
        <w:t>Отделы геологии и лицензирования</w:t>
      </w:r>
      <w:r w:rsidRPr="00E8101A">
        <w:rPr>
          <w:rFonts w:ascii="Times New Roman" w:hAnsi="Times New Roman" w:cs="Times New Roman"/>
          <w:sz w:val="26"/>
          <w:szCs w:val="26"/>
        </w:rPr>
        <w:t xml:space="preserve"> по: Республике Татарстан, Карачаево-Черкесской Республике, Чеченской Республике, Кабардино-Балкарской Республике, Республике Адыгея, Республике Северная Осетия-Алания, Республике Дагестан, Республике Ингушетия, Республике Бурятия. </w:t>
      </w:r>
    </w:p>
    <w:p w:rsidR="008B14AC" w:rsidRPr="00E8101A" w:rsidRDefault="008B14AC" w:rsidP="00E8101A">
      <w:pPr>
        <w:shd w:val="clear" w:color="auto" w:fill="FFFFFF"/>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b/>
          <w:bCs/>
          <w:i/>
          <w:iCs/>
          <w:sz w:val="26"/>
          <w:szCs w:val="26"/>
        </w:rPr>
        <w:t xml:space="preserve">Научно-исследовательские организации и ВУЗы: </w:t>
      </w:r>
      <w:r w:rsidRPr="00E8101A">
        <w:rPr>
          <w:rFonts w:ascii="Times New Roman" w:hAnsi="Times New Roman" w:cs="Times New Roman"/>
          <w:sz w:val="26"/>
          <w:szCs w:val="26"/>
        </w:rPr>
        <w:t>Академия наук Республики Татарстан, Академия наук Чеченской Республики, ЦМСЭР, ФГУП "</w:t>
      </w:r>
      <w:proofErr w:type="spellStart"/>
      <w:r w:rsidRPr="00E8101A">
        <w:rPr>
          <w:rFonts w:ascii="Times New Roman" w:hAnsi="Times New Roman" w:cs="Times New Roman"/>
          <w:sz w:val="26"/>
          <w:szCs w:val="26"/>
        </w:rPr>
        <w:t>ЦНИИгеолнеруд</w:t>
      </w:r>
      <w:proofErr w:type="spellEnd"/>
      <w:r w:rsidRPr="00E8101A">
        <w:rPr>
          <w:rFonts w:ascii="Times New Roman" w:hAnsi="Times New Roman" w:cs="Times New Roman"/>
          <w:sz w:val="26"/>
          <w:szCs w:val="26"/>
        </w:rPr>
        <w:t>, ФГУП «ЦНИГРИ», ФБУ «ВИМС», ФБУ «</w:t>
      </w:r>
      <w:proofErr w:type="spellStart"/>
      <w:r w:rsidRPr="00E8101A">
        <w:rPr>
          <w:rFonts w:ascii="Times New Roman" w:hAnsi="Times New Roman" w:cs="Times New Roman"/>
          <w:sz w:val="26"/>
          <w:szCs w:val="26"/>
        </w:rPr>
        <w:t>Росгеолэкспертиза</w:t>
      </w:r>
      <w:proofErr w:type="spellEnd"/>
      <w:r w:rsidRPr="00E8101A">
        <w:rPr>
          <w:rFonts w:ascii="Times New Roman" w:hAnsi="Times New Roman" w:cs="Times New Roman"/>
          <w:sz w:val="26"/>
          <w:szCs w:val="26"/>
        </w:rPr>
        <w:t>», ФГБУ «НТИМИ», ФГБУН «</w:t>
      </w:r>
      <w:proofErr w:type="spellStart"/>
      <w:r w:rsidRPr="00E8101A">
        <w:rPr>
          <w:rFonts w:ascii="Times New Roman" w:hAnsi="Times New Roman" w:cs="Times New Roman"/>
          <w:sz w:val="26"/>
          <w:szCs w:val="26"/>
        </w:rPr>
        <w:t>Гидроспецгеология</w:t>
      </w:r>
      <w:proofErr w:type="spellEnd"/>
      <w:r w:rsidRPr="00E8101A">
        <w:rPr>
          <w:rFonts w:ascii="Times New Roman" w:hAnsi="Times New Roman" w:cs="Times New Roman"/>
          <w:sz w:val="26"/>
          <w:szCs w:val="26"/>
        </w:rPr>
        <w:t xml:space="preserve">»,  ФГУП «ВНИГНИ», ВСЕГЕИ (Московский филиал), ГГУП «Минерал», Институт геологии </w:t>
      </w:r>
      <w:proofErr w:type="spellStart"/>
      <w:r w:rsidRPr="00E8101A">
        <w:rPr>
          <w:rFonts w:ascii="Times New Roman" w:hAnsi="Times New Roman" w:cs="Times New Roman"/>
          <w:sz w:val="26"/>
          <w:szCs w:val="26"/>
        </w:rPr>
        <w:t>КарНЦ</w:t>
      </w:r>
      <w:proofErr w:type="spellEnd"/>
      <w:r w:rsidRPr="00E8101A">
        <w:rPr>
          <w:rFonts w:ascii="Times New Roman" w:hAnsi="Times New Roman" w:cs="Times New Roman"/>
          <w:sz w:val="26"/>
          <w:szCs w:val="26"/>
        </w:rPr>
        <w:t xml:space="preserve"> РАН, Чеченский государственный университет,  ГУП «РЦ  </w:t>
      </w:r>
      <w:proofErr w:type="spellStart"/>
      <w:r w:rsidRPr="00E8101A">
        <w:rPr>
          <w:rFonts w:ascii="Times New Roman" w:hAnsi="Times New Roman" w:cs="Times New Roman"/>
          <w:sz w:val="26"/>
          <w:szCs w:val="26"/>
        </w:rPr>
        <w:t>Дагестангеомониторинг</w:t>
      </w:r>
      <w:proofErr w:type="spellEnd"/>
      <w:r w:rsidRPr="00E8101A">
        <w:rPr>
          <w:rFonts w:ascii="Times New Roman" w:hAnsi="Times New Roman" w:cs="Times New Roman"/>
          <w:sz w:val="26"/>
          <w:szCs w:val="26"/>
        </w:rPr>
        <w:t xml:space="preserve">», Саратовский государственный университет им. </w:t>
      </w:r>
      <w:proofErr w:type="spellStart"/>
      <w:r w:rsidRPr="00E8101A">
        <w:rPr>
          <w:rFonts w:ascii="Times New Roman" w:hAnsi="Times New Roman" w:cs="Times New Roman"/>
          <w:sz w:val="26"/>
          <w:szCs w:val="26"/>
        </w:rPr>
        <w:t>Н.Г.Чернышевского</w:t>
      </w:r>
      <w:proofErr w:type="spellEnd"/>
      <w:r w:rsidRPr="00E8101A">
        <w:rPr>
          <w:rFonts w:ascii="Times New Roman" w:hAnsi="Times New Roman" w:cs="Times New Roman"/>
          <w:sz w:val="26"/>
          <w:szCs w:val="26"/>
        </w:rPr>
        <w:t xml:space="preserve">, ФГБОУ ВПО «Магнитогорский </w:t>
      </w:r>
      <w:r w:rsidRPr="00E8101A">
        <w:rPr>
          <w:rFonts w:ascii="Times New Roman" w:hAnsi="Times New Roman" w:cs="Times New Roman"/>
          <w:sz w:val="26"/>
          <w:szCs w:val="26"/>
        </w:rPr>
        <w:lastRenderedPageBreak/>
        <w:t>государственный технический университет им. Г.И. Носова», ДПИ НГТУ «Дзержинский политехнический институт» Нижегородского государственного университета им. Р.Е Алексеева, Российский университет дружбы народов, Владикавказский строительный колледж, ФГОАУ ВПО Уральский федеральный университет имени первого Президента России Б.Н. Ельцина, ГУП «</w:t>
      </w:r>
      <w:proofErr w:type="spellStart"/>
      <w:r w:rsidRPr="00E8101A">
        <w:rPr>
          <w:rFonts w:ascii="Times New Roman" w:hAnsi="Times New Roman" w:cs="Times New Roman"/>
          <w:sz w:val="26"/>
          <w:szCs w:val="26"/>
        </w:rPr>
        <w:t>Сахагеоинформ</w:t>
      </w:r>
      <w:proofErr w:type="spellEnd"/>
      <w:r w:rsidRPr="00E8101A">
        <w:rPr>
          <w:rFonts w:ascii="Times New Roman" w:hAnsi="Times New Roman" w:cs="Times New Roman"/>
          <w:sz w:val="26"/>
          <w:szCs w:val="26"/>
        </w:rPr>
        <w:t xml:space="preserve">», </w:t>
      </w:r>
      <w:r w:rsidRPr="00E8101A">
        <w:rPr>
          <w:rFonts w:ascii="Times New Roman" w:hAnsi="Times New Roman" w:cs="Times New Roman"/>
          <w:color w:val="000000"/>
          <w:sz w:val="26"/>
          <w:szCs w:val="26"/>
        </w:rPr>
        <w:t xml:space="preserve">Федеральное государственное бюджетное учреждение науки «Институт химии и технологии редких элементов и минерального сырья» Кольского научного центра РАН - ИХТРЭМС КНЦ РАН, </w:t>
      </w:r>
      <w:r w:rsidRPr="00E8101A">
        <w:rPr>
          <w:rFonts w:ascii="Times New Roman" w:hAnsi="Times New Roman" w:cs="Times New Roman"/>
          <w:sz w:val="26"/>
          <w:szCs w:val="26"/>
        </w:rPr>
        <w:t xml:space="preserve">Омский научный центр СО РАН, Институт проблем переработки углеводородов СО РАН, Горный институт НИТУ </w:t>
      </w:r>
      <w:proofErr w:type="spellStart"/>
      <w:r w:rsidRPr="00E8101A">
        <w:rPr>
          <w:rFonts w:ascii="Times New Roman" w:hAnsi="Times New Roman" w:cs="Times New Roman"/>
          <w:sz w:val="26"/>
          <w:szCs w:val="26"/>
        </w:rPr>
        <w:t>МИСиС</w:t>
      </w:r>
      <w:proofErr w:type="spellEnd"/>
      <w:r w:rsidRPr="00E8101A">
        <w:rPr>
          <w:rFonts w:ascii="Times New Roman" w:hAnsi="Times New Roman" w:cs="Times New Roman"/>
          <w:sz w:val="26"/>
          <w:szCs w:val="26"/>
        </w:rPr>
        <w:t xml:space="preserve">, Казанский государственный архитектурно-строительный университет, ГИН СО РАН, Байкальский институт природопользования СО РАН, Федеральное государственное бюджетное учреждение науки «Институт геологии»  Карельского научного центра Российской академии наук, Институт геологии Коми НЦ </w:t>
      </w:r>
      <w:proofErr w:type="spellStart"/>
      <w:r w:rsidRPr="00E8101A">
        <w:rPr>
          <w:rFonts w:ascii="Times New Roman" w:hAnsi="Times New Roman" w:cs="Times New Roman"/>
          <w:sz w:val="26"/>
          <w:szCs w:val="26"/>
        </w:rPr>
        <w:t>УрО</w:t>
      </w:r>
      <w:proofErr w:type="spellEnd"/>
      <w:r w:rsidRPr="00E8101A">
        <w:rPr>
          <w:rFonts w:ascii="Times New Roman" w:hAnsi="Times New Roman" w:cs="Times New Roman"/>
          <w:sz w:val="26"/>
          <w:szCs w:val="26"/>
        </w:rPr>
        <w:t xml:space="preserve"> РАН, Федеральное государственное бюджетное учреждение науки «Институт  минералогии» Уральского отделения Российской академии наук, Институт минералогии, геохимии и кристаллохимии РАН, Институт геохимии  им. </w:t>
      </w:r>
      <w:proofErr w:type="spellStart"/>
      <w:r w:rsidRPr="00E8101A">
        <w:rPr>
          <w:rFonts w:ascii="Times New Roman" w:hAnsi="Times New Roman" w:cs="Times New Roman"/>
          <w:sz w:val="26"/>
          <w:szCs w:val="26"/>
        </w:rPr>
        <w:t>А.П.Виноградова</w:t>
      </w:r>
      <w:proofErr w:type="spellEnd"/>
      <w:r w:rsidRPr="00E8101A">
        <w:rPr>
          <w:rFonts w:ascii="Times New Roman" w:hAnsi="Times New Roman" w:cs="Times New Roman"/>
          <w:sz w:val="26"/>
          <w:szCs w:val="26"/>
        </w:rPr>
        <w:t xml:space="preserve"> СО РАН, Иркутский научный центр СО РАН, ФГБОУ ВПО «Забайкальский государственный университет», Южный Федеральный Университет, Институт земной коры СО РАН, Казанский национальный исследовательский технологический университет, Федеральное государственное бюджетное учреждение науки «Институт проблем комплексного освоения недр» РАН, Башкирский государственный университет,  Институт геологии и минералогии Сибирское отделение РАН; </w:t>
      </w:r>
      <w:proofErr w:type="spellStart"/>
      <w:r w:rsidRPr="00E8101A">
        <w:rPr>
          <w:rFonts w:ascii="Times New Roman" w:hAnsi="Times New Roman" w:cs="Times New Roman"/>
          <w:sz w:val="26"/>
          <w:szCs w:val="26"/>
        </w:rPr>
        <w:t>Бронницкая</w:t>
      </w:r>
      <w:proofErr w:type="spellEnd"/>
      <w:r w:rsidRPr="00E8101A">
        <w:rPr>
          <w:rFonts w:ascii="Times New Roman" w:hAnsi="Times New Roman" w:cs="Times New Roman"/>
          <w:sz w:val="26"/>
          <w:szCs w:val="26"/>
        </w:rPr>
        <w:t xml:space="preserve"> геолого-геохимическая  экспедиция ФГУП «ИМГРЭ», ФГБУН ГИ НКЦ РАН, Федеральное государственное бюджетное учреждение науки Институт геохимии им. А.П. Виноградова СО РАН, Всероссийский научно-исследовательский геологоразведочный институт угольных месторождений «</w:t>
      </w:r>
      <w:proofErr w:type="spellStart"/>
      <w:r w:rsidRPr="00E8101A">
        <w:rPr>
          <w:rFonts w:ascii="Times New Roman" w:hAnsi="Times New Roman" w:cs="Times New Roman"/>
          <w:sz w:val="26"/>
          <w:szCs w:val="26"/>
        </w:rPr>
        <w:t>ВНИГРИуголь</w:t>
      </w:r>
      <w:proofErr w:type="spellEnd"/>
      <w:r w:rsidRPr="00E8101A">
        <w:rPr>
          <w:rFonts w:ascii="Times New Roman" w:hAnsi="Times New Roman" w:cs="Times New Roman"/>
          <w:sz w:val="26"/>
          <w:szCs w:val="26"/>
        </w:rPr>
        <w:t>».</w:t>
      </w:r>
    </w:p>
    <w:p w:rsidR="008B14AC" w:rsidRPr="00E8101A" w:rsidRDefault="008B14AC" w:rsidP="00E8101A">
      <w:pPr>
        <w:shd w:val="clear" w:color="auto" w:fill="FFFFFF"/>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b/>
          <w:bCs/>
          <w:i/>
          <w:iCs/>
          <w:sz w:val="26"/>
          <w:szCs w:val="26"/>
        </w:rPr>
        <w:t xml:space="preserve">Геологоразведочные предприятия и </w:t>
      </w:r>
      <w:proofErr w:type="spellStart"/>
      <w:r w:rsidRPr="00E8101A">
        <w:rPr>
          <w:rFonts w:ascii="Times New Roman" w:hAnsi="Times New Roman" w:cs="Times New Roman"/>
          <w:b/>
          <w:bCs/>
          <w:i/>
          <w:iCs/>
          <w:sz w:val="26"/>
          <w:szCs w:val="26"/>
        </w:rPr>
        <w:t>недропользователи</w:t>
      </w:r>
      <w:proofErr w:type="spellEnd"/>
      <w:r w:rsidRPr="00E8101A">
        <w:rPr>
          <w:rFonts w:ascii="Times New Roman" w:hAnsi="Times New Roman" w:cs="Times New Roman"/>
          <w:sz w:val="26"/>
          <w:szCs w:val="26"/>
        </w:rPr>
        <w:t>: АО «</w:t>
      </w:r>
      <w:proofErr w:type="spellStart"/>
      <w:r w:rsidRPr="00E8101A">
        <w:rPr>
          <w:rFonts w:ascii="Times New Roman" w:hAnsi="Times New Roman" w:cs="Times New Roman"/>
          <w:sz w:val="26"/>
          <w:szCs w:val="26"/>
        </w:rPr>
        <w:t>Росгеология</w:t>
      </w:r>
      <w:proofErr w:type="spellEnd"/>
      <w:r w:rsidRPr="00E8101A">
        <w:rPr>
          <w:rFonts w:ascii="Times New Roman" w:hAnsi="Times New Roman" w:cs="Times New Roman"/>
          <w:sz w:val="26"/>
          <w:szCs w:val="26"/>
        </w:rPr>
        <w:t>»,  МХК «</w:t>
      </w:r>
      <w:proofErr w:type="spellStart"/>
      <w:r w:rsidRPr="00E8101A">
        <w:rPr>
          <w:rFonts w:ascii="Times New Roman" w:hAnsi="Times New Roman" w:cs="Times New Roman"/>
          <w:sz w:val="26"/>
          <w:szCs w:val="26"/>
        </w:rPr>
        <w:t>Еврохим</w:t>
      </w:r>
      <w:proofErr w:type="spellEnd"/>
      <w:r w:rsidRPr="00E8101A">
        <w:rPr>
          <w:rFonts w:ascii="Times New Roman" w:hAnsi="Times New Roman" w:cs="Times New Roman"/>
          <w:sz w:val="26"/>
          <w:szCs w:val="26"/>
        </w:rPr>
        <w:t>», ПАО «</w:t>
      </w:r>
      <w:proofErr w:type="spellStart"/>
      <w:r w:rsidRPr="00E8101A">
        <w:rPr>
          <w:rFonts w:ascii="Times New Roman" w:hAnsi="Times New Roman" w:cs="Times New Roman"/>
          <w:sz w:val="26"/>
          <w:szCs w:val="26"/>
        </w:rPr>
        <w:t>Уралкалий</w:t>
      </w:r>
      <w:proofErr w:type="spellEnd"/>
      <w:r w:rsidRPr="00E8101A">
        <w:rPr>
          <w:rFonts w:ascii="Times New Roman" w:hAnsi="Times New Roman" w:cs="Times New Roman"/>
          <w:sz w:val="26"/>
          <w:szCs w:val="26"/>
        </w:rPr>
        <w:t>», Группа «</w:t>
      </w:r>
      <w:r w:rsidRPr="00E8101A">
        <w:rPr>
          <w:rFonts w:ascii="Times New Roman" w:hAnsi="Times New Roman" w:cs="Times New Roman"/>
          <w:sz w:val="26"/>
          <w:szCs w:val="26"/>
          <w:lang w:val="en-US"/>
        </w:rPr>
        <w:t>ERIELL</w:t>
      </w:r>
      <w:r w:rsidRPr="00E8101A">
        <w:rPr>
          <w:rFonts w:ascii="Times New Roman" w:hAnsi="Times New Roman" w:cs="Times New Roman"/>
          <w:sz w:val="26"/>
          <w:szCs w:val="26"/>
        </w:rPr>
        <w:t>», ООО «</w:t>
      </w:r>
      <w:proofErr w:type="spellStart"/>
      <w:r w:rsidRPr="00E8101A">
        <w:rPr>
          <w:rFonts w:ascii="Times New Roman" w:hAnsi="Times New Roman" w:cs="Times New Roman"/>
          <w:sz w:val="26"/>
          <w:szCs w:val="26"/>
        </w:rPr>
        <w:t>ЕвроХим-ВолгаКалий</w:t>
      </w:r>
      <w:proofErr w:type="spellEnd"/>
      <w:r w:rsidRPr="00E8101A">
        <w:rPr>
          <w:rFonts w:ascii="Times New Roman" w:hAnsi="Times New Roman" w:cs="Times New Roman"/>
          <w:sz w:val="26"/>
          <w:szCs w:val="26"/>
        </w:rPr>
        <w:t>», ООО</w:t>
      </w:r>
      <w:r w:rsidRPr="00E8101A">
        <w:rPr>
          <w:rFonts w:ascii="Times New Roman" w:hAnsi="Times New Roman" w:cs="Times New Roman"/>
          <w:sz w:val="26"/>
          <w:szCs w:val="26"/>
          <w:vertAlign w:val="superscript"/>
        </w:rPr>
        <w:t xml:space="preserve"> </w:t>
      </w:r>
      <w:r w:rsidRPr="00E8101A">
        <w:rPr>
          <w:rFonts w:ascii="Times New Roman" w:hAnsi="Times New Roman" w:cs="Times New Roman"/>
          <w:sz w:val="26"/>
          <w:szCs w:val="26"/>
        </w:rPr>
        <w:t>«</w:t>
      </w:r>
      <w:proofErr w:type="spellStart"/>
      <w:r w:rsidRPr="00E8101A">
        <w:rPr>
          <w:rFonts w:ascii="Times New Roman" w:hAnsi="Times New Roman" w:cs="Times New Roman"/>
          <w:sz w:val="26"/>
          <w:szCs w:val="26"/>
        </w:rPr>
        <w:t>Севкавнедра</w:t>
      </w:r>
      <w:proofErr w:type="spellEnd"/>
      <w:r w:rsidRPr="00E8101A">
        <w:rPr>
          <w:rFonts w:ascii="Times New Roman" w:hAnsi="Times New Roman" w:cs="Times New Roman"/>
          <w:sz w:val="26"/>
          <w:szCs w:val="26"/>
        </w:rPr>
        <w:t>», ООО «</w:t>
      </w:r>
      <w:proofErr w:type="spellStart"/>
      <w:r w:rsidRPr="00E8101A">
        <w:rPr>
          <w:rFonts w:ascii="Times New Roman" w:hAnsi="Times New Roman" w:cs="Times New Roman"/>
          <w:sz w:val="26"/>
          <w:szCs w:val="26"/>
        </w:rPr>
        <w:t>Даггеомониторинг</w:t>
      </w:r>
      <w:proofErr w:type="spellEnd"/>
      <w:r w:rsidRPr="00E8101A">
        <w:rPr>
          <w:rFonts w:ascii="Times New Roman" w:hAnsi="Times New Roman" w:cs="Times New Roman"/>
          <w:sz w:val="26"/>
          <w:szCs w:val="26"/>
        </w:rPr>
        <w:t>», ООО ГГНПП «</w:t>
      </w:r>
      <w:proofErr w:type="spellStart"/>
      <w:r w:rsidRPr="00E8101A">
        <w:rPr>
          <w:rFonts w:ascii="Times New Roman" w:hAnsi="Times New Roman" w:cs="Times New Roman"/>
          <w:sz w:val="26"/>
          <w:szCs w:val="26"/>
        </w:rPr>
        <w:t>ЮгРосминералсырье</w:t>
      </w:r>
      <w:proofErr w:type="spellEnd"/>
      <w:r w:rsidRPr="00E8101A">
        <w:rPr>
          <w:rFonts w:ascii="Times New Roman" w:hAnsi="Times New Roman" w:cs="Times New Roman"/>
          <w:sz w:val="26"/>
          <w:szCs w:val="26"/>
        </w:rPr>
        <w:t>», «ГП «НИИМР», ООО ПП «</w:t>
      </w:r>
      <w:proofErr w:type="spellStart"/>
      <w:r w:rsidRPr="00E8101A">
        <w:rPr>
          <w:rFonts w:ascii="Times New Roman" w:hAnsi="Times New Roman" w:cs="Times New Roman"/>
          <w:sz w:val="26"/>
          <w:szCs w:val="26"/>
        </w:rPr>
        <w:t>Маркет</w:t>
      </w:r>
      <w:proofErr w:type="spellEnd"/>
      <w:r w:rsidRPr="00E8101A">
        <w:rPr>
          <w:rFonts w:ascii="Times New Roman" w:hAnsi="Times New Roman" w:cs="Times New Roman"/>
          <w:sz w:val="26"/>
          <w:szCs w:val="26"/>
        </w:rPr>
        <w:t>», ООО «</w:t>
      </w:r>
      <w:proofErr w:type="spellStart"/>
      <w:r w:rsidRPr="00E8101A">
        <w:rPr>
          <w:rFonts w:ascii="Times New Roman" w:hAnsi="Times New Roman" w:cs="Times New Roman"/>
          <w:sz w:val="26"/>
          <w:szCs w:val="26"/>
        </w:rPr>
        <w:t>ГеолХимПроект</w:t>
      </w:r>
      <w:proofErr w:type="spellEnd"/>
      <w:r w:rsidRPr="00E8101A">
        <w:rPr>
          <w:rFonts w:ascii="Times New Roman" w:hAnsi="Times New Roman" w:cs="Times New Roman"/>
          <w:sz w:val="26"/>
          <w:szCs w:val="26"/>
        </w:rPr>
        <w:t>», АО  «</w:t>
      </w:r>
      <w:proofErr w:type="spellStart"/>
      <w:r w:rsidRPr="00E8101A">
        <w:rPr>
          <w:rFonts w:ascii="Times New Roman" w:hAnsi="Times New Roman" w:cs="Times New Roman"/>
          <w:sz w:val="26"/>
          <w:szCs w:val="26"/>
        </w:rPr>
        <w:t>Южгеология</w:t>
      </w:r>
      <w:proofErr w:type="spellEnd"/>
      <w:r w:rsidRPr="00E8101A">
        <w:rPr>
          <w:rFonts w:ascii="Times New Roman" w:hAnsi="Times New Roman" w:cs="Times New Roman"/>
          <w:sz w:val="26"/>
          <w:szCs w:val="26"/>
        </w:rPr>
        <w:t>», ОАО «</w:t>
      </w:r>
      <w:proofErr w:type="spellStart"/>
      <w:r w:rsidRPr="00E8101A">
        <w:rPr>
          <w:rFonts w:ascii="Times New Roman" w:hAnsi="Times New Roman" w:cs="Times New Roman"/>
          <w:sz w:val="26"/>
          <w:szCs w:val="26"/>
        </w:rPr>
        <w:t>Севосгеологоразведка</w:t>
      </w:r>
      <w:proofErr w:type="spellEnd"/>
      <w:r w:rsidRPr="00E8101A">
        <w:rPr>
          <w:rFonts w:ascii="Times New Roman" w:hAnsi="Times New Roman" w:cs="Times New Roman"/>
          <w:sz w:val="26"/>
          <w:szCs w:val="26"/>
        </w:rPr>
        <w:t>», ОАО «</w:t>
      </w:r>
      <w:proofErr w:type="spellStart"/>
      <w:r w:rsidRPr="00E8101A">
        <w:rPr>
          <w:rFonts w:ascii="Times New Roman" w:hAnsi="Times New Roman" w:cs="Times New Roman"/>
          <w:sz w:val="26"/>
          <w:szCs w:val="26"/>
        </w:rPr>
        <w:t>Севкавгеология</w:t>
      </w:r>
      <w:proofErr w:type="spellEnd"/>
      <w:r w:rsidRPr="00E8101A">
        <w:rPr>
          <w:rFonts w:ascii="Times New Roman" w:hAnsi="Times New Roman" w:cs="Times New Roman"/>
          <w:sz w:val="26"/>
          <w:szCs w:val="26"/>
        </w:rPr>
        <w:t xml:space="preserve">», </w:t>
      </w:r>
      <w:r w:rsidRPr="00E8101A">
        <w:rPr>
          <w:rFonts w:ascii="Times New Roman" w:hAnsi="Times New Roman" w:cs="Times New Roman"/>
          <w:sz w:val="26"/>
          <w:szCs w:val="26"/>
          <w:lang w:eastAsia="ru-RU"/>
        </w:rPr>
        <w:t>ОАО «</w:t>
      </w:r>
      <w:proofErr w:type="spellStart"/>
      <w:r w:rsidRPr="00E8101A">
        <w:rPr>
          <w:rFonts w:ascii="Times New Roman" w:hAnsi="Times New Roman" w:cs="Times New Roman"/>
          <w:sz w:val="26"/>
          <w:szCs w:val="26"/>
          <w:lang w:eastAsia="ru-RU"/>
        </w:rPr>
        <w:t>Севкавнедра</w:t>
      </w:r>
      <w:proofErr w:type="spellEnd"/>
      <w:r w:rsidRPr="00E8101A">
        <w:rPr>
          <w:rFonts w:ascii="Times New Roman" w:hAnsi="Times New Roman" w:cs="Times New Roman"/>
          <w:sz w:val="26"/>
          <w:szCs w:val="26"/>
          <w:lang w:eastAsia="ru-RU"/>
        </w:rPr>
        <w:t xml:space="preserve">», </w:t>
      </w:r>
      <w:r w:rsidRPr="00E8101A">
        <w:rPr>
          <w:rFonts w:ascii="Times New Roman" w:hAnsi="Times New Roman" w:cs="Times New Roman"/>
          <w:sz w:val="26"/>
          <w:szCs w:val="26"/>
        </w:rPr>
        <w:t xml:space="preserve">ЗАО «Урал-Омега», ОАО «Компания </w:t>
      </w:r>
      <w:proofErr w:type="spellStart"/>
      <w:r w:rsidRPr="00E8101A">
        <w:rPr>
          <w:rFonts w:ascii="Times New Roman" w:hAnsi="Times New Roman" w:cs="Times New Roman"/>
          <w:sz w:val="26"/>
          <w:szCs w:val="26"/>
        </w:rPr>
        <w:t>вотемиро</w:t>
      </w:r>
      <w:proofErr w:type="spellEnd"/>
      <w:r w:rsidRPr="00E8101A">
        <w:rPr>
          <w:rFonts w:ascii="Times New Roman" w:hAnsi="Times New Roman" w:cs="Times New Roman"/>
          <w:sz w:val="26"/>
          <w:szCs w:val="26"/>
        </w:rPr>
        <w:t>», ОАО «Кыштымский горно-обогатительный комбинат», Ассоциация «Промышленные минералы», ОАО «</w:t>
      </w:r>
      <w:proofErr w:type="spellStart"/>
      <w:r w:rsidRPr="00E8101A">
        <w:rPr>
          <w:rFonts w:ascii="Times New Roman" w:hAnsi="Times New Roman" w:cs="Times New Roman"/>
          <w:sz w:val="26"/>
          <w:szCs w:val="26"/>
        </w:rPr>
        <w:t>Татагрохим</w:t>
      </w:r>
      <w:proofErr w:type="spellEnd"/>
      <w:r w:rsidRPr="00E8101A">
        <w:rPr>
          <w:rFonts w:ascii="Times New Roman" w:hAnsi="Times New Roman" w:cs="Times New Roman"/>
          <w:sz w:val="26"/>
          <w:szCs w:val="26"/>
        </w:rPr>
        <w:t>», ООО «Кварцевое стекло, ЗАО «Кварцевые материалы», ООО «</w:t>
      </w:r>
      <w:proofErr w:type="spellStart"/>
      <w:r w:rsidRPr="00E8101A">
        <w:rPr>
          <w:rFonts w:ascii="Times New Roman" w:hAnsi="Times New Roman" w:cs="Times New Roman"/>
          <w:sz w:val="26"/>
          <w:szCs w:val="26"/>
        </w:rPr>
        <w:t>Суракай</w:t>
      </w:r>
      <w:proofErr w:type="spellEnd"/>
      <w:r w:rsidRPr="00E8101A">
        <w:rPr>
          <w:rFonts w:ascii="Times New Roman" w:hAnsi="Times New Roman" w:cs="Times New Roman"/>
          <w:sz w:val="26"/>
          <w:szCs w:val="26"/>
        </w:rPr>
        <w:t>», ООО «Кальцит», ОАО «Симбирская ГРЭ», ООО «Уральское горно-геологическое агентство», АО «Тульское НИГП», ЗАО НПП «ВНИИГИС-ТЗС», АО «</w:t>
      </w:r>
      <w:proofErr w:type="spellStart"/>
      <w:r w:rsidRPr="00E8101A">
        <w:rPr>
          <w:rFonts w:ascii="Times New Roman" w:hAnsi="Times New Roman" w:cs="Times New Roman"/>
          <w:sz w:val="26"/>
          <w:szCs w:val="26"/>
        </w:rPr>
        <w:t>Волковгеология</w:t>
      </w:r>
      <w:proofErr w:type="spellEnd"/>
      <w:r w:rsidRPr="00E8101A">
        <w:rPr>
          <w:rFonts w:ascii="Times New Roman" w:hAnsi="Times New Roman" w:cs="Times New Roman"/>
          <w:sz w:val="26"/>
          <w:szCs w:val="26"/>
        </w:rPr>
        <w:t xml:space="preserve">», ЗАО «ДИОР», ЗАО «Русский кварц», Горный Департамент </w:t>
      </w:r>
      <w:r w:rsidRPr="00E8101A">
        <w:rPr>
          <w:rFonts w:ascii="Times New Roman" w:hAnsi="Times New Roman" w:cs="Times New Roman"/>
          <w:sz w:val="26"/>
          <w:szCs w:val="26"/>
        </w:rPr>
        <w:lastRenderedPageBreak/>
        <w:t>ООО «</w:t>
      </w:r>
      <w:proofErr w:type="spellStart"/>
      <w:r w:rsidRPr="00E8101A">
        <w:rPr>
          <w:rFonts w:ascii="Times New Roman" w:hAnsi="Times New Roman" w:cs="Times New Roman"/>
          <w:sz w:val="26"/>
          <w:szCs w:val="26"/>
        </w:rPr>
        <w:t>Королайна</w:t>
      </w:r>
      <w:proofErr w:type="spellEnd"/>
      <w:r w:rsidRPr="00E8101A">
        <w:rPr>
          <w:rFonts w:ascii="Times New Roman" w:hAnsi="Times New Roman" w:cs="Times New Roman"/>
          <w:sz w:val="26"/>
          <w:szCs w:val="26"/>
        </w:rPr>
        <w:t xml:space="preserve"> Инжиниринг», ОАО «ТАТНЕФТЕХИМИНВЕСТ-холдинг», Группа компаний «</w:t>
      </w:r>
      <w:proofErr w:type="spellStart"/>
      <w:r w:rsidRPr="00E8101A">
        <w:rPr>
          <w:rFonts w:ascii="Times New Roman" w:hAnsi="Times New Roman" w:cs="Times New Roman"/>
          <w:sz w:val="26"/>
          <w:szCs w:val="26"/>
        </w:rPr>
        <w:t>Анакон</w:t>
      </w:r>
      <w:proofErr w:type="spellEnd"/>
      <w:r w:rsidRPr="00E8101A">
        <w:rPr>
          <w:rFonts w:ascii="Times New Roman" w:hAnsi="Times New Roman" w:cs="Times New Roman"/>
          <w:sz w:val="26"/>
          <w:szCs w:val="26"/>
        </w:rPr>
        <w:t>», Группа компаний  «VIPOIL», ОАО «</w:t>
      </w:r>
      <w:proofErr w:type="spellStart"/>
      <w:r w:rsidRPr="00E8101A">
        <w:rPr>
          <w:rFonts w:ascii="Times New Roman" w:hAnsi="Times New Roman" w:cs="Times New Roman"/>
          <w:sz w:val="26"/>
          <w:szCs w:val="26"/>
        </w:rPr>
        <w:t>Уралмеханобр</w:t>
      </w:r>
      <w:proofErr w:type="spellEnd"/>
      <w:r w:rsidRPr="00E8101A">
        <w:rPr>
          <w:rFonts w:ascii="Times New Roman" w:hAnsi="Times New Roman" w:cs="Times New Roman"/>
          <w:sz w:val="26"/>
          <w:szCs w:val="26"/>
        </w:rPr>
        <w:t>», ООО «НПК Бентонит».</w:t>
      </w:r>
    </w:p>
    <w:p w:rsidR="008B14AC" w:rsidRPr="00E8101A" w:rsidRDefault="008B14AC" w:rsidP="00E8101A">
      <w:pPr>
        <w:shd w:val="clear" w:color="auto" w:fill="FFFFFF"/>
        <w:spacing w:after="0" w:line="300" w:lineRule="auto"/>
        <w:ind w:firstLine="567"/>
        <w:jc w:val="both"/>
        <w:rPr>
          <w:rFonts w:ascii="Times New Roman" w:hAnsi="Times New Roman" w:cs="Times New Roman"/>
          <w:bCs/>
          <w:sz w:val="26"/>
          <w:szCs w:val="26"/>
        </w:rPr>
      </w:pPr>
      <w:r w:rsidRPr="00E8101A">
        <w:rPr>
          <w:rFonts w:ascii="Times New Roman" w:hAnsi="Times New Roman" w:cs="Times New Roman"/>
          <w:b/>
          <w:bCs/>
          <w:i/>
          <w:iCs/>
          <w:sz w:val="26"/>
          <w:szCs w:val="26"/>
        </w:rPr>
        <w:t xml:space="preserve">Зарубежные предприятия и организации: </w:t>
      </w:r>
      <w:r w:rsidRPr="00E8101A">
        <w:rPr>
          <w:rFonts w:ascii="Times New Roman" w:hAnsi="Times New Roman" w:cs="Times New Roman"/>
          <w:bCs/>
          <w:sz w:val="26"/>
          <w:szCs w:val="26"/>
        </w:rPr>
        <w:t xml:space="preserve">Китайское Государственное управление по делам Иностранных специалистов, Управление геологических изысканий и минеральных ресурсов Министерства нефти и минеральных ресурсов (Йеменская Республика), </w:t>
      </w:r>
      <w:r w:rsidRPr="00E8101A">
        <w:rPr>
          <w:rFonts w:ascii="Times New Roman" w:hAnsi="Times New Roman" w:cs="Times New Roman"/>
          <w:bCs/>
          <w:sz w:val="26"/>
          <w:szCs w:val="26"/>
          <w:lang w:val="en-US"/>
        </w:rPr>
        <w:t>Geological</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Survey</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of</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Norway</w:t>
      </w:r>
      <w:r w:rsidRPr="00E8101A">
        <w:rPr>
          <w:rFonts w:ascii="Times New Roman" w:hAnsi="Times New Roman" w:cs="Times New Roman"/>
          <w:bCs/>
          <w:sz w:val="26"/>
          <w:szCs w:val="26"/>
        </w:rPr>
        <w:t xml:space="preserve"> (Геологическая служба Норвегии), </w:t>
      </w:r>
      <w:r w:rsidRPr="00E8101A">
        <w:rPr>
          <w:rFonts w:ascii="Times New Roman" w:hAnsi="Times New Roman" w:cs="Times New Roman"/>
          <w:bCs/>
          <w:sz w:val="26"/>
          <w:szCs w:val="26"/>
          <w:lang w:val="en-US"/>
        </w:rPr>
        <w:t>Arizona</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State</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University</w:t>
      </w:r>
      <w:r w:rsidRPr="00E8101A">
        <w:rPr>
          <w:rFonts w:ascii="Times New Roman" w:hAnsi="Times New Roman" w:cs="Times New Roman"/>
          <w:bCs/>
          <w:sz w:val="26"/>
          <w:szCs w:val="26"/>
        </w:rPr>
        <w:t xml:space="preserve"> (Государственный университет штата Аризона), </w:t>
      </w:r>
      <w:r w:rsidRPr="00E8101A">
        <w:rPr>
          <w:rFonts w:ascii="Times New Roman" w:hAnsi="Times New Roman" w:cs="Times New Roman"/>
          <w:bCs/>
          <w:sz w:val="26"/>
          <w:szCs w:val="26"/>
          <w:lang w:val="en-US"/>
        </w:rPr>
        <w:t>Geological</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Survey</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of</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Finland</w:t>
      </w:r>
      <w:r w:rsidRPr="00E8101A">
        <w:rPr>
          <w:rFonts w:ascii="Times New Roman" w:hAnsi="Times New Roman" w:cs="Times New Roman"/>
          <w:bCs/>
          <w:sz w:val="26"/>
          <w:szCs w:val="26"/>
        </w:rPr>
        <w:t xml:space="preserve"> (Геологическая служба Финляндии), </w:t>
      </w:r>
      <w:r w:rsidRPr="00E8101A">
        <w:rPr>
          <w:rFonts w:ascii="Times New Roman" w:hAnsi="Times New Roman" w:cs="Times New Roman"/>
          <w:bCs/>
          <w:sz w:val="26"/>
          <w:szCs w:val="26"/>
          <w:lang w:val="en-US"/>
        </w:rPr>
        <w:t>Geological</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Survey</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of</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Sweden</w:t>
      </w:r>
      <w:r w:rsidRPr="00E8101A">
        <w:rPr>
          <w:rFonts w:ascii="Times New Roman" w:hAnsi="Times New Roman" w:cs="Times New Roman"/>
          <w:bCs/>
          <w:sz w:val="26"/>
          <w:szCs w:val="26"/>
        </w:rPr>
        <w:t xml:space="preserve"> (Геологическая служба Швеции), </w:t>
      </w:r>
      <w:r w:rsidRPr="00E8101A">
        <w:rPr>
          <w:rFonts w:ascii="Times New Roman" w:hAnsi="Times New Roman" w:cs="Times New Roman"/>
          <w:bCs/>
          <w:sz w:val="26"/>
          <w:szCs w:val="26"/>
          <w:lang w:val="en-US"/>
        </w:rPr>
        <w:t>IQ</w:t>
      </w:r>
      <w:r w:rsidRPr="00E8101A">
        <w:rPr>
          <w:rFonts w:ascii="Times New Roman" w:hAnsi="Times New Roman" w:cs="Times New Roman"/>
          <w:bCs/>
          <w:sz w:val="26"/>
          <w:szCs w:val="26"/>
        </w:rPr>
        <w:t xml:space="preserve"> </w:t>
      </w:r>
      <w:r w:rsidRPr="00E8101A">
        <w:rPr>
          <w:rFonts w:ascii="Times New Roman" w:hAnsi="Times New Roman" w:cs="Times New Roman"/>
          <w:bCs/>
          <w:sz w:val="26"/>
          <w:szCs w:val="26"/>
          <w:lang w:val="en-US"/>
        </w:rPr>
        <w:t>CAPITAL</w:t>
      </w:r>
      <w:r w:rsidRPr="00E8101A">
        <w:rPr>
          <w:rFonts w:ascii="Times New Roman" w:hAnsi="Times New Roman" w:cs="Times New Roman"/>
          <w:bCs/>
          <w:sz w:val="26"/>
          <w:szCs w:val="26"/>
        </w:rPr>
        <w:t xml:space="preserve">, </w:t>
      </w:r>
      <w:proofErr w:type="spellStart"/>
      <w:r w:rsidRPr="00E8101A">
        <w:rPr>
          <w:rFonts w:ascii="Times New Roman" w:hAnsi="Times New Roman" w:cs="Times New Roman"/>
          <w:bCs/>
          <w:spacing w:val="-1"/>
          <w:sz w:val="26"/>
          <w:szCs w:val="26"/>
          <w:lang w:val="en-US"/>
        </w:rPr>
        <w:t>Maicom</w:t>
      </w:r>
      <w:proofErr w:type="spellEnd"/>
      <w:r w:rsidRPr="00E8101A">
        <w:rPr>
          <w:rFonts w:ascii="Times New Roman" w:hAnsi="Times New Roman" w:cs="Times New Roman"/>
          <w:bCs/>
          <w:spacing w:val="-1"/>
          <w:sz w:val="26"/>
          <w:szCs w:val="26"/>
        </w:rPr>
        <w:t xml:space="preserve"> </w:t>
      </w:r>
      <w:proofErr w:type="spellStart"/>
      <w:r w:rsidRPr="00E8101A">
        <w:rPr>
          <w:rFonts w:ascii="Times New Roman" w:hAnsi="Times New Roman" w:cs="Times New Roman"/>
          <w:bCs/>
          <w:spacing w:val="-1"/>
          <w:sz w:val="26"/>
          <w:szCs w:val="26"/>
          <w:lang w:val="en-US"/>
        </w:rPr>
        <w:t>Quarz</w:t>
      </w:r>
      <w:proofErr w:type="spellEnd"/>
      <w:r w:rsidRPr="00E8101A">
        <w:rPr>
          <w:rFonts w:ascii="Times New Roman" w:hAnsi="Times New Roman" w:cs="Times New Roman"/>
          <w:bCs/>
          <w:spacing w:val="-1"/>
          <w:sz w:val="26"/>
          <w:szCs w:val="26"/>
        </w:rPr>
        <w:t xml:space="preserve"> </w:t>
      </w:r>
      <w:r w:rsidRPr="00E8101A">
        <w:rPr>
          <w:rFonts w:ascii="Times New Roman" w:hAnsi="Times New Roman" w:cs="Times New Roman"/>
          <w:bCs/>
          <w:spacing w:val="-1"/>
          <w:sz w:val="26"/>
          <w:szCs w:val="26"/>
          <w:lang w:val="en-US"/>
        </w:rPr>
        <w:t>GmbH</w:t>
      </w:r>
      <w:r w:rsidRPr="00E8101A">
        <w:rPr>
          <w:rFonts w:ascii="Times New Roman" w:hAnsi="Times New Roman" w:cs="Times New Roman"/>
          <w:bCs/>
          <w:spacing w:val="-1"/>
          <w:sz w:val="26"/>
          <w:szCs w:val="26"/>
        </w:rPr>
        <w:t xml:space="preserve"> (Германия), </w:t>
      </w:r>
      <w:r w:rsidRPr="00E8101A">
        <w:rPr>
          <w:rFonts w:ascii="Times New Roman" w:hAnsi="Times New Roman" w:cs="Times New Roman"/>
          <w:bCs/>
          <w:sz w:val="26"/>
          <w:szCs w:val="26"/>
        </w:rPr>
        <w:t>Министерство индустрии и новых технологий Республики Казахстан, Комитет геологии и недропользования Республики Казахстан, ГП «Научно-исследовательский институт минеральных ресурсов»  Министерства по инвестициям и развитию Республики Казахстан, Государственный комитет по геологии Республики Узбекистан, Государственное предприятие «Научно-исследовательский институт минеральных ресурсов»  Республика Узбекистан, ГНУ «Институт общей и неорганической химии» Национальной Академии Наук Республики Беларуси.</w:t>
      </w:r>
    </w:p>
    <w:p w:rsidR="008B14AC" w:rsidRPr="00E8101A" w:rsidRDefault="008B14AC" w:rsidP="00E8101A">
      <w:pPr>
        <w:spacing w:after="0" w:line="300" w:lineRule="auto"/>
        <w:ind w:firstLine="709"/>
        <w:jc w:val="both"/>
        <w:rPr>
          <w:rFonts w:ascii="Times New Roman" w:hAnsi="Times New Roman" w:cs="Times New Roman"/>
          <w:sz w:val="26"/>
          <w:szCs w:val="26"/>
        </w:rPr>
      </w:pPr>
      <w:r w:rsidRPr="00E8101A">
        <w:rPr>
          <w:rFonts w:ascii="Times New Roman" w:hAnsi="Times New Roman" w:cs="Times New Roman"/>
          <w:sz w:val="26"/>
          <w:szCs w:val="26"/>
        </w:rPr>
        <w:t xml:space="preserve">На конференции  было заслушано </w:t>
      </w:r>
      <w:r w:rsidRPr="00E8101A">
        <w:rPr>
          <w:rFonts w:ascii="Times New Roman" w:hAnsi="Times New Roman" w:cs="Times New Roman"/>
          <w:sz w:val="26"/>
          <w:szCs w:val="26"/>
          <w:u w:val="single"/>
        </w:rPr>
        <w:t xml:space="preserve"> 106 </w:t>
      </w:r>
      <w:r w:rsidRPr="00E8101A">
        <w:rPr>
          <w:rFonts w:ascii="Times New Roman" w:hAnsi="Times New Roman" w:cs="Times New Roman"/>
          <w:sz w:val="26"/>
          <w:szCs w:val="26"/>
        </w:rPr>
        <w:t xml:space="preserve"> устных докладов, в которых обсуждались актуальные проблемы состояния и путей развития  и воспроизводства минерально-сырьевой базы промышленных минералов мира, СНГ и России;  вопросы, связанные  с </w:t>
      </w:r>
      <w:r w:rsidRPr="00E8101A">
        <w:rPr>
          <w:rFonts w:ascii="Times New Roman" w:hAnsi="Times New Roman" w:cs="Times New Roman"/>
          <w:color w:val="000000"/>
          <w:sz w:val="26"/>
          <w:szCs w:val="26"/>
          <w:shd w:val="clear" w:color="auto" w:fill="FFFFFF"/>
        </w:rPr>
        <w:t>прогнозом, поисками, оценкой и освоением месторождений твердых нерудных полезных ископаемых (ТНПИ), мирового и отечественного рынков промышленных минералов, инновационных технологий оценки качества нерудного  сырья, добычи, переработки и  получения на его основе  высоколиквидной продукции.</w:t>
      </w:r>
    </w:p>
    <w:p w:rsidR="008B14AC" w:rsidRPr="00E8101A" w:rsidRDefault="008B14AC" w:rsidP="00E8101A">
      <w:pPr>
        <w:spacing w:before="120" w:after="120" w:line="300" w:lineRule="auto"/>
        <w:ind w:firstLine="567"/>
        <w:jc w:val="both"/>
        <w:rPr>
          <w:rFonts w:ascii="Times New Roman" w:hAnsi="Times New Roman" w:cs="Times New Roman"/>
          <w:b/>
          <w:bCs/>
          <w:spacing w:val="20"/>
          <w:sz w:val="26"/>
          <w:szCs w:val="26"/>
        </w:rPr>
      </w:pPr>
      <w:r w:rsidRPr="00E8101A">
        <w:rPr>
          <w:rFonts w:ascii="Times New Roman" w:hAnsi="Times New Roman" w:cs="Times New Roman"/>
          <w:b/>
          <w:bCs/>
          <w:spacing w:val="20"/>
          <w:sz w:val="26"/>
          <w:szCs w:val="26"/>
        </w:rPr>
        <w:t>Конференция отметила:</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Стратегические приоритеты в воспроизводстве и развитии минерально-сырьевой базы (МСБ) твердых нерудных полезных ископаемых  определяются, прежде всего, широким разнообразием областей их применения и </w:t>
      </w:r>
      <w:proofErr w:type="spellStart"/>
      <w:r w:rsidRPr="00E8101A">
        <w:rPr>
          <w:rFonts w:ascii="Times New Roman" w:hAnsi="Times New Roman" w:cs="Times New Roman"/>
          <w:sz w:val="26"/>
          <w:szCs w:val="26"/>
        </w:rPr>
        <w:t>многотоннажностью</w:t>
      </w:r>
      <w:proofErr w:type="spellEnd"/>
      <w:r w:rsidRPr="00E8101A">
        <w:rPr>
          <w:rFonts w:ascii="Times New Roman" w:hAnsi="Times New Roman" w:cs="Times New Roman"/>
          <w:sz w:val="26"/>
          <w:szCs w:val="26"/>
        </w:rPr>
        <w:t xml:space="preserve"> использования. </w:t>
      </w:r>
      <w:r w:rsidR="001C6395">
        <w:rPr>
          <w:rFonts w:ascii="Times New Roman" w:hAnsi="Times New Roman" w:cs="Times New Roman"/>
          <w:sz w:val="26"/>
          <w:szCs w:val="26"/>
        </w:rPr>
        <w:t>Н</w:t>
      </w:r>
      <w:r w:rsidRPr="00E8101A">
        <w:rPr>
          <w:rFonts w:ascii="Times New Roman" w:hAnsi="Times New Roman" w:cs="Times New Roman"/>
          <w:sz w:val="26"/>
          <w:szCs w:val="26"/>
        </w:rPr>
        <w:t xml:space="preserve">еметаллы обеспечивают устойчивое функционирование и сбалансированное развитие таких базовых экономических комплексов,  как агропромышленный (апатиты, фосфориты, калийные соли), металлургический и машиностроительный (магнезит, </w:t>
      </w:r>
      <w:proofErr w:type="spellStart"/>
      <w:r w:rsidRPr="00E8101A">
        <w:rPr>
          <w:rFonts w:ascii="Times New Roman" w:hAnsi="Times New Roman" w:cs="Times New Roman"/>
          <w:sz w:val="26"/>
          <w:szCs w:val="26"/>
        </w:rPr>
        <w:t>брусит</w:t>
      </w:r>
      <w:proofErr w:type="spellEnd"/>
      <w:r w:rsidRPr="00E8101A">
        <w:rPr>
          <w:rFonts w:ascii="Times New Roman" w:hAnsi="Times New Roman" w:cs="Times New Roman"/>
          <w:sz w:val="26"/>
          <w:szCs w:val="26"/>
        </w:rPr>
        <w:t xml:space="preserve">, графит, бентонит, плавиковый шпат, </w:t>
      </w:r>
      <w:proofErr w:type="spellStart"/>
      <w:r w:rsidRPr="00E8101A">
        <w:rPr>
          <w:rFonts w:ascii="Times New Roman" w:hAnsi="Times New Roman" w:cs="Times New Roman"/>
          <w:sz w:val="26"/>
          <w:szCs w:val="26"/>
        </w:rPr>
        <w:t>высокоглиноземные</w:t>
      </w:r>
      <w:proofErr w:type="spellEnd"/>
      <w:r w:rsidRPr="00E8101A">
        <w:rPr>
          <w:rFonts w:ascii="Times New Roman" w:hAnsi="Times New Roman" w:cs="Times New Roman"/>
          <w:sz w:val="26"/>
          <w:szCs w:val="26"/>
        </w:rPr>
        <w:t xml:space="preserve"> минералы и др.), топливно-энергетический (барит, бентонит, каолин и др.), химико-лесной (каолин, тальк, </w:t>
      </w:r>
      <w:proofErr w:type="spellStart"/>
      <w:r w:rsidRPr="00E8101A">
        <w:rPr>
          <w:rFonts w:ascii="Times New Roman" w:hAnsi="Times New Roman" w:cs="Times New Roman"/>
          <w:sz w:val="26"/>
          <w:szCs w:val="26"/>
        </w:rPr>
        <w:t>волластонит</w:t>
      </w:r>
      <w:proofErr w:type="spellEnd"/>
      <w:r w:rsidRPr="00E8101A">
        <w:rPr>
          <w:rFonts w:ascii="Times New Roman" w:hAnsi="Times New Roman" w:cs="Times New Roman"/>
          <w:sz w:val="26"/>
          <w:szCs w:val="26"/>
        </w:rPr>
        <w:t xml:space="preserve">, барит, известняки, поваренная соль, графит, плавиковый шпат, бор и др.), минерально-строительный (известняки, </w:t>
      </w:r>
      <w:r w:rsidRPr="00E8101A">
        <w:rPr>
          <w:rFonts w:ascii="Times New Roman" w:hAnsi="Times New Roman" w:cs="Times New Roman"/>
          <w:sz w:val="26"/>
          <w:szCs w:val="26"/>
        </w:rPr>
        <w:lastRenderedPageBreak/>
        <w:t xml:space="preserve">доломиты, мел, глины, асбест, тальк, пески стекольные, ОПИ и др.), экологическую безопасность (природные сорбенты – цеолиты, опоки, трепел, диатомит, бентонит, глауконит и др.) и создание высоких технологий (особо чистый кварц, мусковит, асбест, пьезооптическое сырье, графит, </w:t>
      </w:r>
      <w:proofErr w:type="spellStart"/>
      <w:r w:rsidRPr="00E8101A">
        <w:rPr>
          <w:rFonts w:ascii="Times New Roman" w:hAnsi="Times New Roman" w:cs="Times New Roman"/>
          <w:sz w:val="26"/>
          <w:szCs w:val="26"/>
        </w:rPr>
        <w:t>шунгит</w:t>
      </w:r>
      <w:proofErr w:type="spellEnd"/>
      <w:r w:rsidRPr="00E8101A">
        <w:rPr>
          <w:rFonts w:ascii="Times New Roman" w:hAnsi="Times New Roman" w:cs="Times New Roman"/>
          <w:sz w:val="26"/>
          <w:szCs w:val="26"/>
        </w:rPr>
        <w:t>). На долю неметаллов приходится 60 – 65 % суммарной годовой стоимости добываемого минерального сырья (за исключением топливно-энергетического). Фактически объем потребления неметаллических полезных ископаемых становится индикатором социально-экономического развития страны.</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В предшествующие годы в России была создана и успешно осваивается значительная минерально-сырьевая база многих видов неметаллов. Однако, по ряду видов </w:t>
      </w:r>
      <w:r w:rsidR="001C6395">
        <w:rPr>
          <w:rFonts w:ascii="Times New Roman" w:hAnsi="Times New Roman" w:cs="Times New Roman"/>
          <w:sz w:val="26"/>
          <w:szCs w:val="26"/>
        </w:rPr>
        <w:t>твердых нерудных полезных ископаемых (ТНПИ)</w:t>
      </w:r>
      <w:r w:rsidRPr="00E8101A">
        <w:rPr>
          <w:rFonts w:ascii="Times New Roman" w:hAnsi="Times New Roman" w:cs="Times New Roman"/>
          <w:sz w:val="26"/>
          <w:szCs w:val="26"/>
        </w:rPr>
        <w:t xml:space="preserve">  потребности экономики страны, на сегодняшний день, не могут быть удовлетворены без импортных поставок. </w:t>
      </w:r>
      <w:proofErr w:type="gramStart"/>
      <w:r w:rsidRPr="00E8101A">
        <w:rPr>
          <w:rFonts w:ascii="Times New Roman" w:hAnsi="Times New Roman" w:cs="Times New Roman"/>
          <w:sz w:val="26"/>
          <w:szCs w:val="26"/>
        </w:rPr>
        <w:t>К  таким</w:t>
      </w:r>
      <w:proofErr w:type="gramEnd"/>
      <w:r w:rsidRPr="00E8101A">
        <w:rPr>
          <w:rFonts w:ascii="Times New Roman" w:hAnsi="Times New Roman" w:cs="Times New Roman"/>
          <w:sz w:val="26"/>
          <w:szCs w:val="26"/>
        </w:rPr>
        <w:t xml:space="preserve"> видам сырья  относятся барит, </w:t>
      </w:r>
      <w:proofErr w:type="spellStart"/>
      <w:r w:rsidRPr="00E8101A">
        <w:rPr>
          <w:rFonts w:ascii="Times New Roman" w:hAnsi="Times New Roman" w:cs="Times New Roman"/>
          <w:sz w:val="26"/>
          <w:szCs w:val="26"/>
        </w:rPr>
        <w:t>бентопродукты</w:t>
      </w:r>
      <w:proofErr w:type="spellEnd"/>
      <w:r w:rsidRPr="00E8101A">
        <w:rPr>
          <w:rFonts w:ascii="Times New Roman" w:hAnsi="Times New Roman" w:cs="Times New Roman"/>
          <w:sz w:val="26"/>
          <w:szCs w:val="26"/>
        </w:rPr>
        <w:t>, магнезит, бор, кристаллический графит, каолин, плавиковый шпат, сырье для производства высококачественных огнеупоров, особо чистое кварцевое сырье и др. Кроме того, качественные показатели и номенклатура производимой отечественными предприятиями минеральной продукции, зачастую, не отвечает требованиям потребителей и  международным стандартам, в силу как низких показателей исходного сырья, так и устаревших технологий его переработки. К отрицательным чертам российской горнодобывающей отрасли ТНПИ относится также сосредоточение производства на единичных, практически монопольных предприятиях, при крайне разветвленной сети потребителей. В настоящее время такая ситуация отмечается в отношении добычи и производства калийных солей, бора, кристаллического графита, апатита, бентонитов, барита, элювиального каолина.</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Возможности расширения производства за счет подготовленного резерва по ряду видов неметаллов ограничены. Так, основной объем (до 74 %) балансовых запасов кристаллического графита нераспределенного фонда не востребован в силу низкого качества руд и трудной их </w:t>
      </w:r>
      <w:proofErr w:type="spellStart"/>
      <w:r w:rsidRPr="00E8101A">
        <w:rPr>
          <w:rFonts w:ascii="Times New Roman" w:hAnsi="Times New Roman" w:cs="Times New Roman"/>
          <w:sz w:val="26"/>
          <w:szCs w:val="26"/>
        </w:rPr>
        <w:t>обогатимости</w:t>
      </w:r>
      <w:proofErr w:type="spellEnd"/>
      <w:r w:rsidRPr="00E8101A">
        <w:rPr>
          <w:rFonts w:ascii="Times New Roman" w:hAnsi="Times New Roman" w:cs="Times New Roman"/>
          <w:sz w:val="26"/>
          <w:szCs w:val="26"/>
        </w:rPr>
        <w:t xml:space="preserve">, расположения в пределах зон с ограниченной хозяйственной деятельностью, в том числе в приграничной зоне. В силу низких качественных характеристик не востребованы и не будут востребованы в ближайшей перспективе до 20 % балансовых запасов барита, сосредоточенных в рудах барит-сульфидных месторождений. Ввиду отсутствия эффективных технологий обогащения  сдерживается освоение уникальных по запасам (более 52 % запасов РФ) Савинского и </w:t>
      </w:r>
      <w:proofErr w:type="spellStart"/>
      <w:r w:rsidRPr="00E8101A">
        <w:rPr>
          <w:rFonts w:ascii="Times New Roman" w:hAnsi="Times New Roman" w:cs="Times New Roman"/>
          <w:sz w:val="26"/>
          <w:szCs w:val="26"/>
        </w:rPr>
        <w:t>Онотского</w:t>
      </w:r>
      <w:proofErr w:type="spellEnd"/>
      <w:r w:rsidRPr="00E8101A">
        <w:rPr>
          <w:rFonts w:ascii="Times New Roman" w:hAnsi="Times New Roman" w:cs="Times New Roman"/>
          <w:sz w:val="26"/>
          <w:szCs w:val="26"/>
        </w:rPr>
        <w:t xml:space="preserve"> месторождений магнезита, а также ряда </w:t>
      </w:r>
      <w:proofErr w:type="spellStart"/>
      <w:r w:rsidRPr="00E8101A">
        <w:rPr>
          <w:rFonts w:ascii="Times New Roman" w:hAnsi="Times New Roman" w:cs="Times New Roman"/>
          <w:sz w:val="26"/>
          <w:szCs w:val="26"/>
        </w:rPr>
        <w:t>редкоземельно</w:t>
      </w:r>
      <w:proofErr w:type="spellEnd"/>
      <w:r w:rsidRPr="00E8101A">
        <w:rPr>
          <w:rFonts w:ascii="Times New Roman" w:hAnsi="Times New Roman" w:cs="Times New Roman"/>
          <w:sz w:val="26"/>
          <w:szCs w:val="26"/>
        </w:rPr>
        <w:t>-апатитовых месторождений.</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Доля наиболее востребованных первичных (элювиальных) каолинов и щелочных, щелочно-щелочноземельных бентонитов,  на добыче и модификации которых </w:t>
      </w:r>
      <w:r w:rsidRPr="00E8101A">
        <w:rPr>
          <w:rFonts w:ascii="Times New Roman" w:hAnsi="Times New Roman" w:cs="Times New Roman"/>
          <w:sz w:val="26"/>
          <w:szCs w:val="26"/>
        </w:rPr>
        <w:lastRenderedPageBreak/>
        <w:t xml:space="preserve">базируется практически все производство каолиновых и </w:t>
      </w:r>
      <w:proofErr w:type="spellStart"/>
      <w:r w:rsidRPr="00E8101A">
        <w:rPr>
          <w:rFonts w:ascii="Times New Roman" w:hAnsi="Times New Roman" w:cs="Times New Roman"/>
          <w:sz w:val="26"/>
          <w:szCs w:val="26"/>
        </w:rPr>
        <w:t>бентопродуктов</w:t>
      </w:r>
      <w:proofErr w:type="spellEnd"/>
      <w:r w:rsidRPr="00E8101A">
        <w:rPr>
          <w:rFonts w:ascii="Times New Roman" w:hAnsi="Times New Roman" w:cs="Times New Roman"/>
          <w:sz w:val="26"/>
          <w:szCs w:val="26"/>
        </w:rPr>
        <w:t xml:space="preserve">, в балансовых запасах составляет лишь 30 % и 22 %, соответственно.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Основу сырьевой базы фосфоритов составляют запасы труднообогатимых </w:t>
      </w:r>
      <w:proofErr w:type="spellStart"/>
      <w:r w:rsidRPr="00E8101A">
        <w:rPr>
          <w:rFonts w:ascii="Times New Roman" w:hAnsi="Times New Roman" w:cs="Times New Roman"/>
          <w:sz w:val="26"/>
          <w:szCs w:val="26"/>
        </w:rPr>
        <w:t>желваковых</w:t>
      </w:r>
      <w:proofErr w:type="spellEnd"/>
      <w:r w:rsidRPr="00E8101A">
        <w:rPr>
          <w:rFonts w:ascii="Times New Roman" w:hAnsi="Times New Roman" w:cs="Times New Roman"/>
          <w:sz w:val="26"/>
          <w:szCs w:val="26"/>
        </w:rPr>
        <w:t xml:space="preserve"> руд, непригодных по существующим промышленным технологиям для производства растворимых </w:t>
      </w:r>
      <w:proofErr w:type="spellStart"/>
      <w:r w:rsidRPr="00E8101A">
        <w:rPr>
          <w:rFonts w:ascii="Times New Roman" w:hAnsi="Times New Roman" w:cs="Times New Roman"/>
          <w:sz w:val="26"/>
          <w:szCs w:val="26"/>
        </w:rPr>
        <w:t>фосудобрений</w:t>
      </w:r>
      <w:proofErr w:type="spellEnd"/>
      <w:r w:rsidRPr="00E8101A">
        <w:rPr>
          <w:rFonts w:ascii="Times New Roman" w:hAnsi="Times New Roman" w:cs="Times New Roman"/>
          <w:sz w:val="26"/>
          <w:szCs w:val="26"/>
        </w:rPr>
        <w:t xml:space="preserve">.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Несмотря на значительные запасы </w:t>
      </w:r>
      <w:proofErr w:type="spellStart"/>
      <w:r w:rsidRPr="00E8101A">
        <w:rPr>
          <w:rFonts w:ascii="Times New Roman" w:hAnsi="Times New Roman" w:cs="Times New Roman"/>
          <w:sz w:val="26"/>
          <w:szCs w:val="26"/>
        </w:rPr>
        <w:t>высокоглиноземного</w:t>
      </w:r>
      <w:proofErr w:type="spellEnd"/>
      <w:r w:rsidRPr="00E8101A">
        <w:rPr>
          <w:rFonts w:ascii="Times New Roman" w:hAnsi="Times New Roman" w:cs="Times New Roman"/>
          <w:sz w:val="26"/>
          <w:szCs w:val="26"/>
        </w:rPr>
        <w:t xml:space="preserve"> сырья (силлиманит, андалузит, кианит), для производства высококачественных огнеупоров, освоение их в ближайшей перспективе вряд ли возможно в силу сложных географо-экономических условий расположения в районе Больших </w:t>
      </w:r>
      <w:proofErr w:type="spellStart"/>
      <w:r w:rsidRPr="00E8101A">
        <w:rPr>
          <w:rFonts w:ascii="Times New Roman" w:hAnsi="Times New Roman" w:cs="Times New Roman"/>
          <w:sz w:val="26"/>
          <w:szCs w:val="26"/>
        </w:rPr>
        <w:t>Кейв</w:t>
      </w:r>
      <w:proofErr w:type="spellEnd"/>
      <w:r w:rsidRPr="00E8101A">
        <w:rPr>
          <w:rFonts w:ascii="Times New Roman" w:hAnsi="Times New Roman" w:cs="Times New Roman"/>
          <w:sz w:val="26"/>
          <w:szCs w:val="26"/>
        </w:rPr>
        <w:t xml:space="preserve"> в Мурманской области.</w:t>
      </w:r>
    </w:p>
    <w:p w:rsidR="008B14AC" w:rsidRPr="00E8101A" w:rsidRDefault="008B14AC" w:rsidP="00E8101A">
      <w:pPr>
        <w:spacing w:after="0" w:line="300" w:lineRule="auto"/>
        <w:ind w:firstLine="567"/>
        <w:jc w:val="both"/>
        <w:rPr>
          <w:rFonts w:ascii="Times New Roman" w:hAnsi="Times New Roman" w:cs="Times New Roman"/>
          <w:spacing w:val="-1"/>
          <w:sz w:val="26"/>
          <w:szCs w:val="26"/>
        </w:rPr>
      </w:pPr>
      <w:r w:rsidRPr="00E8101A">
        <w:rPr>
          <w:rFonts w:ascii="Times New Roman" w:hAnsi="Times New Roman" w:cs="Times New Roman"/>
          <w:spacing w:val="-1"/>
          <w:sz w:val="26"/>
          <w:szCs w:val="26"/>
        </w:rPr>
        <w:t xml:space="preserve">Крайне ограничена подготовленная минерально-сырьевая база кварца, пригодного для использования в высокотехнологичных производствах. Действующие в настоящее время в России предприятия по производству кварцевой продукции либо производят продукцию не соответствующую современным стандартам, либо приобретают кварцевые концентраты у мирового монопольного поставщика - американской фирмы </w:t>
      </w:r>
      <w:proofErr w:type="spellStart"/>
      <w:r w:rsidRPr="00E8101A">
        <w:rPr>
          <w:rFonts w:ascii="Times New Roman" w:hAnsi="Times New Roman" w:cs="Times New Roman"/>
          <w:spacing w:val="-1"/>
          <w:sz w:val="26"/>
          <w:szCs w:val="26"/>
        </w:rPr>
        <w:t>Юнимин</w:t>
      </w:r>
      <w:proofErr w:type="spellEnd"/>
      <w:r w:rsidRPr="00E8101A">
        <w:rPr>
          <w:rFonts w:ascii="Times New Roman" w:hAnsi="Times New Roman" w:cs="Times New Roman"/>
          <w:spacing w:val="-1"/>
          <w:sz w:val="26"/>
          <w:szCs w:val="26"/>
        </w:rPr>
        <w:t xml:space="preserve"> (до 95 % поставляемого на рынок особо чистого кварца).</w:t>
      </w:r>
    </w:p>
    <w:p w:rsidR="008B14AC" w:rsidRPr="00E8101A" w:rsidRDefault="008B14AC" w:rsidP="00E8101A">
      <w:pPr>
        <w:spacing w:after="0" w:line="300" w:lineRule="auto"/>
        <w:ind w:firstLine="567"/>
        <w:jc w:val="both"/>
        <w:rPr>
          <w:rFonts w:ascii="Times New Roman" w:hAnsi="Times New Roman" w:cs="Times New Roman"/>
          <w:color w:val="000000"/>
          <w:sz w:val="26"/>
          <w:szCs w:val="26"/>
        </w:rPr>
      </w:pPr>
      <w:r w:rsidRPr="00E8101A">
        <w:rPr>
          <w:rFonts w:ascii="Times New Roman" w:hAnsi="Times New Roman" w:cs="Times New Roman"/>
          <w:sz w:val="26"/>
          <w:szCs w:val="26"/>
        </w:rPr>
        <w:t xml:space="preserve">Воспроизводство минерально-сырьевой базы ТНПИ за счет федерального бюджета велось в рамках «Долгосрочной государственной программы изучения недр и воспроизводства минерально-сырьевой базы России на основе баланса потребления и воспроизводства минерального сырья» и </w:t>
      </w:r>
      <w:r w:rsidRPr="00E8101A">
        <w:rPr>
          <w:rFonts w:ascii="Times New Roman" w:hAnsi="Times New Roman" w:cs="Times New Roman"/>
          <w:color w:val="000000"/>
          <w:sz w:val="26"/>
          <w:szCs w:val="26"/>
        </w:rPr>
        <w:t xml:space="preserve">Государственной программы «Воспроизводство и использование природных ресурсов».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Наиболее значимые результаты в этот период получены по приросту запасов и прогнозных ресурсов калийных солей, каолина, бентонитов, графита, цеолитов, особо чистого кварцевого и различных видов минерально-строительного сырья.</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pacing w:val="-1"/>
          <w:sz w:val="26"/>
          <w:szCs w:val="26"/>
        </w:rPr>
        <w:t xml:space="preserve">Крупная задача была выполнена по оценке и развитию сырьевых баз калийно-магниевых солей для агропромышленного и химического комплексов в Северо-Прикаспийском и </w:t>
      </w:r>
      <w:proofErr w:type="spellStart"/>
      <w:r w:rsidRPr="00E8101A">
        <w:rPr>
          <w:rFonts w:ascii="Times New Roman" w:hAnsi="Times New Roman" w:cs="Times New Roman"/>
          <w:spacing w:val="-1"/>
          <w:sz w:val="26"/>
          <w:szCs w:val="26"/>
        </w:rPr>
        <w:t>Калининградско</w:t>
      </w:r>
      <w:proofErr w:type="spellEnd"/>
      <w:r w:rsidRPr="00E8101A">
        <w:rPr>
          <w:rFonts w:ascii="Times New Roman" w:hAnsi="Times New Roman" w:cs="Times New Roman"/>
          <w:spacing w:val="-1"/>
          <w:sz w:val="26"/>
          <w:szCs w:val="26"/>
        </w:rPr>
        <w:t xml:space="preserve">-Гданьском солеродных бассейнах. Оцененный ресурсный потенциал составил более 3 </w:t>
      </w:r>
      <w:proofErr w:type="spellStart"/>
      <w:r w:rsidRPr="00E8101A">
        <w:rPr>
          <w:rFonts w:ascii="Times New Roman" w:hAnsi="Times New Roman" w:cs="Times New Roman"/>
          <w:spacing w:val="-1"/>
          <w:sz w:val="26"/>
          <w:szCs w:val="26"/>
        </w:rPr>
        <w:t>млрд.т</w:t>
      </w:r>
      <w:proofErr w:type="spellEnd"/>
      <w:r w:rsidRPr="00E8101A">
        <w:rPr>
          <w:rFonts w:ascii="Times New Roman" w:hAnsi="Times New Roman" w:cs="Times New Roman"/>
          <w:spacing w:val="-1"/>
          <w:sz w:val="26"/>
          <w:szCs w:val="26"/>
        </w:rPr>
        <w:t xml:space="preserve"> К</w:t>
      </w:r>
      <w:r w:rsidRPr="00E8101A">
        <w:rPr>
          <w:rFonts w:ascii="Times New Roman" w:hAnsi="Times New Roman" w:cs="Times New Roman"/>
          <w:spacing w:val="-1"/>
          <w:sz w:val="26"/>
          <w:szCs w:val="26"/>
          <w:vertAlign w:val="subscript"/>
        </w:rPr>
        <w:t>2</w:t>
      </w:r>
      <w:r w:rsidRPr="00E8101A">
        <w:rPr>
          <w:rFonts w:ascii="Times New Roman" w:hAnsi="Times New Roman" w:cs="Times New Roman"/>
          <w:spacing w:val="-1"/>
          <w:sz w:val="26"/>
          <w:szCs w:val="26"/>
        </w:rPr>
        <w:t xml:space="preserve">О. </w:t>
      </w:r>
      <w:proofErr w:type="spellStart"/>
      <w:r w:rsidRPr="00E8101A">
        <w:rPr>
          <w:rFonts w:ascii="Times New Roman" w:hAnsi="Times New Roman" w:cs="Times New Roman"/>
          <w:sz w:val="26"/>
          <w:szCs w:val="26"/>
        </w:rPr>
        <w:t>Анклавное</w:t>
      </w:r>
      <w:proofErr w:type="spellEnd"/>
      <w:r w:rsidRPr="00E8101A">
        <w:rPr>
          <w:rFonts w:ascii="Times New Roman" w:hAnsi="Times New Roman" w:cs="Times New Roman"/>
          <w:sz w:val="26"/>
          <w:szCs w:val="26"/>
        </w:rPr>
        <w:t xml:space="preserve"> расположение Калининградской минерально-сырьевой базы и Северо-Прикаспийской внутри агропромышленной зоны России, наличие там топливно-энергетических комплексов определяют высокую потенциальную эффективность по созданию в этих районах крупных нефтехимических и агропромышленных комплексов по производству высоколиквидных продуктов на внутреннем и мировом рынках.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В различных регионах страны (Северный Кавказ, Сахалин, Оренбургская область) получен значительный прирост прогнозных ресурсов высоких категорий дефицитных </w:t>
      </w:r>
      <w:proofErr w:type="spellStart"/>
      <w:r w:rsidRPr="00E8101A">
        <w:rPr>
          <w:rFonts w:ascii="Times New Roman" w:hAnsi="Times New Roman" w:cs="Times New Roman"/>
          <w:sz w:val="26"/>
          <w:szCs w:val="26"/>
        </w:rPr>
        <w:t>легкомодифицируемых</w:t>
      </w:r>
      <w:proofErr w:type="spellEnd"/>
      <w:r w:rsidRPr="00E8101A">
        <w:rPr>
          <w:rFonts w:ascii="Times New Roman" w:hAnsi="Times New Roman" w:cs="Times New Roman"/>
          <w:sz w:val="26"/>
          <w:szCs w:val="26"/>
        </w:rPr>
        <w:t xml:space="preserve"> бентонитов. Расширен ресурсный потенциал кристаллического графита в Республике Саха (Якутия) и в Мурманской области. </w:t>
      </w:r>
      <w:r w:rsidRPr="00E8101A">
        <w:rPr>
          <w:rFonts w:ascii="Times New Roman" w:hAnsi="Times New Roman" w:cs="Times New Roman"/>
          <w:sz w:val="26"/>
          <w:szCs w:val="26"/>
        </w:rPr>
        <w:lastRenderedPageBreak/>
        <w:t>Мощная сырьевая база элювиальных каолинов, ресурсный потенциал которой оценивается более чем в 400 млн. т, создана в Оренбургской области.</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Выполнены весьма актуальные работы по наращиванию ресурсного потенциала кварцевого сырья в традиционных </w:t>
      </w:r>
      <w:proofErr w:type="spellStart"/>
      <w:r w:rsidRPr="00E8101A">
        <w:rPr>
          <w:rFonts w:ascii="Times New Roman" w:hAnsi="Times New Roman" w:cs="Times New Roman"/>
          <w:sz w:val="26"/>
          <w:szCs w:val="26"/>
        </w:rPr>
        <w:t>кварценосных</w:t>
      </w:r>
      <w:proofErr w:type="spellEnd"/>
      <w:r w:rsidRPr="00E8101A">
        <w:rPr>
          <w:rFonts w:ascii="Times New Roman" w:hAnsi="Times New Roman" w:cs="Times New Roman"/>
          <w:sz w:val="26"/>
          <w:szCs w:val="26"/>
        </w:rPr>
        <w:t xml:space="preserve"> </w:t>
      </w:r>
      <w:proofErr w:type="gramStart"/>
      <w:r w:rsidRPr="00E8101A">
        <w:rPr>
          <w:rFonts w:ascii="Times New Roman" w:hAnsi="Times New Roman" w:cs="Times New Roman"/>
          <w:sz w:val="26"/>
          <w:szCs w:val="26"/>
        </w:rPr>
        <w:t>провинциях  (</w:t>
      </w:r>
      <w:proofErr w:type="gramEnd"/>
      <w:r w:rsidRPr="00E8101A">
        <w:rPr>
          <w:rFonts w:ascii="Times New Roman" w:hAnsi="Times New Roman" w:cs="Times New Roman"/>
          <w:sz w:val="26"/>
          <w:szCs w:val="26"/>
        </w:rPr>
        <w:t>Карело-Кольской и Уральской), по созданию геолого-технологического комплекса методов по переоценке МСБ кварцевого сырья и выбора направлений дальнейших ГРР.</w:t>
      </w:r>
    </w:p>
    <w:p w:rsidR="008B14AC" w:rsidRPr="00E8101A" w:rsidRDefault="008B14AC" w:rsidP="00E8101A">
      <w:pPr>
        <w:spacing w:after="0" w:line="300" w:lineRule="auto"/>
        <w:ind w:firstLine="567"/>
        <w:jc w:val="both"/>
        <w:rPr>
          <w:rFonts w:ascii="Times New Roman" w:hAnsi="Times New Roman" w:cs="Times New Roman"/>
          <w:spacing w:val="-1"/>
          <w:sz w:val="26"/>
          <w:szCs w:val="26"/>
        </w:rPr>
      </w:pPr>
      <w:r w:rsidRPr="00E8101A">
        <w:rPr>
          <w:rFonts w:ascii="Times New Roman" w:hAnsi="Times New Roman" w:cs="Times New Roman"/>
          <w:spacing w:val="-1"/>
          <w:sz w:val="26"/>
          <w:szCs w:val="26"/>
        </w:rPr>
        <w:t xml:space="preserve">Существенно расширен ресурсный потенциал минерально-строительного сырья (цементное, стекольное и керамическое сырье, сырье для производства базальтового волокна, легких строительных материалов) для создания инновационных тепло- и энергосберегающих материалов, нерудных строительных, конструкционных и керамических материалов с целью обеспечения жилищного и промышленного строительства, развития транспортной и энергетической инфраструктуры и, в первую очередь, </w:t>
      </w:r>
      <w:r w:rsidRPr="00E8101A">
        <w:rPr>
          <w:rFonts w:ascii="Times New Roman" w:hAnsi="Times New Roman" w:cs="Times New Roman"/>
          <w:sz w:val="26"/>
          <w:szCs w:val="26"/>
        </w:rPr>
        <w:t>в интенсивно развивающихся и социально-значимых регионах России – центральных регионах европейской части России, республиках Северного Кавказа, южных регионах Сибири и Дальнего Востока.</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По результатам работ на основе геолого-экономического анализа и аналитико-технологической оценки определен ресурсный и инвестиционный потенциал как различных видов и групп неметаллических полезных ископаемых (сорбционное, минерально-строительное, стекольное, кварцевое, </w:t>
      </w:r>
      <w:proofErr w:type="spellStart"/>
      <w:r w:rsidRPr="00E8101A">
        <w:rPr>
          <w:rFonts w:ascii="Times New Roman" w:hAnsi="Times New Roman" w:cs="Times New Roman"/>
          <w:sz w:val="26"/>
          <w:szCs w:val="26"/>
        </w:rPr>
        <w:t>камнесамоцветное</w:t>
      </w:r>
      <w:proofErr w:type="spellEnd"/>
      <w:r w:rsidRPr="00E8101A">
        <w:rPr>
          <w:rFonts w:ascii="Times New Roman" w:hAnsi="Times New Roman" w:cs="Times New Roman"/>
          <w:sz w:val="26"/>
          <w:szCs w:val="26"/>
        </w:rPr>
        <w:t xml:space="preserve">, </w:t>
      </w:r>
      <w:proofErr w:type="spellStart"/>
      <w:r w:rsidRPr="00E8101A">
        <w:rPr>
          <w:rFonts w:ascii="Times New Roman" w:hAnsi="Times New Roman" w:cs="Times New Roman"/>
          <w:sz w:val="26"/>
          <w:szCs w:val="26"/>
        </w:rPr>
        <w:t>горнохимическое</w:t>
      </w:r>
      <w:proofErr w:type="spellEnd"/>
      <w:r w:rsidRPr="00E8101A">
        <w:rPr>
          <w:rFonts w:ascii="Times New Roman" w:hAnsi="Times New Roman" w:cs="Times New Roman"/>
          <w:sz w:val="26"/>
          <w:szCs w:val="26"/>
        </w:rPr>
        <w:t xml:space="preserve"> сырье), так и ряда геополитически важных регионов России (Северо-Кавказский, Южный, Центральный и Приволжский федеральные округа, южные регионы Сибири и Дальнего Востока, Северный </w:t>
      </w:r>
      <w:proofErr w:type="spellStart"/>
      <w:r w:rsidRPr="00E8101A">
        <w:rPr>
          <w:rFonts w:ascii="Times New Roman" w:hAnsi="Times New Roman" w:cs="Times New Roman"/>
          <w:sz w:val="26"/>
          <w:szCs w:val="26"/>
        </w:rPr>
        <w:t>Прикаспий</w:t>
      </w:r>
      <w:proofErr w:type="spellEnd"/>
      <w:r w:rsidRPr="00E8101A">
        <w:rPr>
          <w:rFonts w:ascii="Times New Roman" w:hAnsi="Times New Roman" w:cs="Times New Roman"/>
          <w:sz w:val="26"/>
          <w:szCs w:val="26"/>
        </w:rPr>
        <w:t xml:space="preserve">), разработаны предложения к комплексным программам геологического изучения недр, воспроизводства и использования МСБ ТНПИ на средне- и долгосрочные периоды. Результаты исследований положены в обоснование ежегодных Программ ГРР и Перечней объектов государственного заказа </w:t>
      </w:r>
      <w:proofErr w:type="spellStart"/>
      <w:r w:rsidRPr="00E8101A">
        <w:rPr>
          <w:rFonts w:ascii="Times New Roman" w:hAnsi="Times New Roman" w:cs="Times New Roman"/>
          <w:sz w:val="26"/>
          <w:szCs w:val="26"/>
        </w:rPr>
        <w:t>Роснедра</w:t>
      </w:r>
      <w:proofErr w:type="spellEnd"/>
      <w:r w:rsidRPr="00E8101A">
        <w:rPr>
          <w:rFonts w:ascii="Times New Roman" w:hAnsi="Times New Roman" w:cs="Times New Roman"/>
          <w:sz w:val="26"/>
          <w:szCs w:val="26"/>
        </w:rPr>
        <w:t xml:space="preserve"> по воспроизводству МСБ нерудных полезных ископаемых, в том числе на новые нетрадиционные для России виды сырья: </w:t>
      </w:r>
      <w:proofErr w:type="spellStart"/>
      <w:r w:rsidRPr="00E8101A">
        <w:rPr>
          <w:rFonts w:ascii="Times New Roman" w:hAnsi="Times New Roman" w:cs="Times New Roman"/>
          <w:sz w:val="26"/>
          <w:szCs w:val="26"/>
        </w:rPr>
        <w:t>сепиолитовые</w:t>
      </w:r>
      <w:proofErr w:type="spellEnd"/>
      <w:r w:rsidRPr="00E8101A">
        <w:rPr>
          <w:rFonts w:ascii="Times New Roman" w:hAnsi="Times New Roman" w:cs="Times New Roman"/>
          <w:sz w:val="26"/>
          <w:szCs w:val="26"/>
        </w:rPr>
        <w:t xml:space="preserve"> глины, магнезит-</w:t>
      </w:r>
      <w:proofErr w:type="spellStart"/>
      <w:r w:rsidRPr="00E8101A">
        <w:rPr>
          <w:rFonts w:ascii="Times New Roman" w:hAnsi="Times New Roman" w:cs="Times New Roman"/>
          <w:sz w:val="26"/>
          <w:szCs w:val="26"/>
        </w:rPr>
        <w:t>гидромагнезитовые</w:t>
      </w:r>
      <w:proofErr w:type="spellEnd"/>
      <w:r w:rsidRPr="00E8101A">
        <w:rPr>
          <w:rFonts w:ascii="Times New Roman" w:hAnsi="Times New Roman" w:cs="Times New Roman"/>
          <w:sz w:val="26"/>
          <w:szCs w:val="26"/>
        </w:rPr>
        <w:t xml:space="preserve"> руды, галогенные бораты.  </w:t>
      </w:r>
    </w:p>
    <w:p w:rsidR="008B14AC" w:rsidRPr="00E8101A" w:rsidRDefault="001C6395"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Значительный вклад в развитие сырьевой базы неметаллов вносится и </w:t>
      </w:r>
      <w:proofErr w:type="spellStart"/>
      <w:r w:rsidRPr="00E8101A">
        <w:rPr>
          <w:rFonts w:ascii="Times New Roman" w:hAnsi="Times New Roman" w:cs="Times New Roman"/>
          <w:sz w:val="26"/>
          <w:szCs w:val="26"/>
        </w:rPr>
        <w:t>недропользователями</w:t>
      </w:r>
      <w:proofErr w:type="spellEnd"/>
      <w:r w:rsidRPr="00E8101A">
        <w:rPr>
          <w:rFonts w:ascii="Times New Roman" w:hAnsi="Times New Roman" w:cs="Times New Roman"/>
          <w:sz w:val="26"/>
          <w:szCs w:val="26"/>
        </w:rPr>
        <w:t xml:space="preserve">. </w:t>
      </w:r>
      <w:r w:rsidR="008B14AC" w:rsidRPr="00E8101A">
        <w:rPr>
          <w:rFonts w:ascii="Times New Roman" w:hAnsi="Times New Roman" w:cs="Times New Roman"/>
          <w:sz w:val="26"/>
          <w:szCs w:val="26"/>
        </w:rPr>
        <w:t>Особо надо отметить усилия МХ</w:t>
      </w:r>
      <w:r w:rsidRPr="00E8101A">
        <w:rPr>
          <w:rFonts w:ascii="Times New Roman" w:hAnsi="Times New Roman" w:cs="Times New Roman"/>
          <w:sz w:val="26"/>
          <w:szCs w:val="26"/>
        </w:rPr>
        <w:t>К</w:t>
      </w:r>
      <w:r w:rsidR="008B14AC" w:rsidRPr="00E8101A">
        <w:rPr>
          <w:rFonts w:ascii="Times New Roman" w:hAnsi="Times New Roman" w:cs="Times New Roman"/>
          <w:sz w:val="26"/>
          <w:szCs w:val="26"/>
        </w:rPr>
        <w:t xml:space="preserve"> «</w:t>
      </w:r>
      <w:proofErr w:type="spellStart"/>
      <w:r w:rsidR="008B14AC" w:rsidRPr="00E8101A">
        <w:rPr>
          <w:rFonts w:ascii="Times New Roman" w:hAnsi="Times New Roman" w:cs="Times New Roman"/>
          <w:sz w:val="26"/>
          <w:szCs w:val="26"/>
        </w:rPr>
        <w:t>Еврохим</w:t>
      </w:r>
      <w:proofErr w:type="spellEnd"/>
      <w:r w:rsidR="008B14AC" w:rsidRPr="00E8101A">
        <w:rPr>
          <w:rFonts w:ascii="Times New Roman" w:hAnsi="Times New Roman" w:cs="Times New Roman"/>
          <w:sz w:val="26"/>
          <w:szCs w:val="26"/>
        </w:rPr>
        <w:t xml:space="preserve">» по созданию крупной минерально-сырьевой базы калийно-магниевых солей и ее освоению в Волгоградской и Саратовской областях и в Пермском крае, а также по освоению фосфатных объектов в Республике Казахстан.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Большой объем работ в области маркетинга, изучения тенденций развития мирового рынка промышленных минералов ведется в зарубежных странах. Так мониторинг критических (стратегических) минеральных ресурсов для обеспечения </w:t>
      </w:r>
      <w:r w:rsidRPr="00E8101A">
        <w:rPr>
          <w:rFonts w:ascii="Times New Roman" w:hAnsi="Times New Roman" w:cs="Times New Roman"/>
          <w:sz w:val="26"/>
          <w:szCs w:val="26"/>
        </w:rPr>
        <w:lastRenderedPageBreak/>
        <w:t>промышленности Европейского союза показывают значительную его зависимость (до 60-80%) от импорта из Китая многих видов промышленных минералов.</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 Социально-экономическое развитие стран Финно-Скандинавского региона во многом зависит от эффективности использования сырьевой базы нерудных полезных ископаемых. Такое минеральное сырье как глины и цеолиты служат основой разработок по созданию новых, в </w:t>
      </w:r>
      <w:proofErr w:type="spellStart"/>
      <w:r w:rsidRPr="00E8101A">
        <w:rPr>
          <w:rFonts w:ascii="Times New Roman" w:hAnsi="Times New Roman" w:cs="Times New Roman"/>
          <w:sz w:val="26"/>
          <w:szCs w:val="26"/>
        </w:rPr>
        <w:t>т.ч</w:t>
      </w:r>
      <w:proofErr w:type="spellEnd"/>
      <w:r w:rsidRPr="00E8101A">
        <w:rPr>
          <w:rFonts w:ascii="Times New Roman" w:hAnsi="Times New Roman" w:cs="Times New Roman"/>
          <w:sz w:val="26"/>
          <w:szCs w:val="26"/>
        </w:rPr>
        <w:t xml:space="preserve">. синтезированных, </w:t>
      </w:r>
      <w:proofErr w:type="spellStart"/>
      <w:r w:rsidRPr="00E8101A">
        <w:rPr>
          <w:rFonts w:ascii="Times New Roman" w:hAnsi="Times New Roman" w:cs="Times New Roman"/>
          <w:sz w:val="26"/>
          <w:szCs w:val="26"/>
        </w:rPr>
        <w:t>наноструктурированных</w:t>
      </w:r>
      <w:proofErr w:type="spellEnd"/>
      <w:r w:rsidRPr="00E8101A">
        <w:rPr>
          <w:rFonts w:ascii="Times New Roman" w:hAnsi="Times New Roman" w:cs="Times New Roman"/>
          <w:sz w:val="26"/>
          <w:szCs w:val="26"/>
        </w:rPr>
        <w:t xml:space="preserve"> материалов</w:t>
      </w:r>
      <w:r w:rsidR="001C6395">
        <w:rPr>
          <w:rFonts w:ascii="Times New Roman" w:hAnsi="Times New Roman" w:cs="Times New Roman"/>
          <w:sz w:val="26"/>
          <w:szCs w:val="26"/>
        </w:rPr>
        <w:t xml:space="preserve"> (США)</w:t>
      </w:r>
      <w:r w:rsidRPr="00E8101A">
        <w:rPr>
          <w:rFonts w:ascii="Times New Roman" w:hAnsi="Times New Roman" w:cs="Times New Roman"/>
          <w:sz w:val="26"/>
          <w:szCs w:val="26"/>
        </w:rPr>
        <w:t>.</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 Однако, как показывает практика, в части геологического изучения недр, начиная с ранних стадий, </w:t>
      </w:r>
      <w:proofErr w:type="spellStart"/>
      <w:r w:rsidRPr="00E8101A">
        <w:rPr>
          <w:rFonts w:ascii="Times New Roman" w:hAnsi="Times New Roman" w:cs="Times New Roman"/>
          <w:sz w:val="26"/>
          <w:szCs w:val="26"/>
        </w:rPr>
        <w:t>недропользователи</w:t>
      </w:r>
      <w:proofErr w:type="spellEnd"/>
      <w:r w:rsidRPr="00E8101A">
        <w:rPr>
          <w:rFonts w:ascii="Times New Roman" w:hAnsi="Times New Roman" w:cs="Times New Roman"/>
          <w:sz w:val="26"/>
          <w:szCs w:val="26"/>
        </w:rPr>
        <w:t xml:space="preserve"> малого и среднего бизнеса ориентированы, преимущественно, на объекты, не требующих значительных вложений, как в геологическое изучение, так и в последующее их освоение.</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Стагнация геологоразведочной отрасли, как и всей экономики страны, начиная с   90-х годов, привела к резкому сокращению открытий новых месторождений, сокращению поискового потенциала для обеспечения как «старых» горнопромышленных районов, так и планируемых центров и территорий опережающего развития.</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Для целого ряда промышленных минералов характерна низкая конкурентоспособность, несовершенство структуры и слабая освоенность минерально-сырьевых баз, а также производство неликвидной на мировом рынке продукции на их основе.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Вызывает озабоченность практически полное отсутствие тематических исследований по оценке прогнозно-</w:t>
      </w:r>
      <w:proofErr w:type="spellStart"/>
      <w:r w:rsidRPr="00E8101A">
        <w:rPr>
          <w:rFonts w:ascii="Times New Roman" w:hAnsi="Times New Roman" w:cs="Times New Roman"/>
          <w:sz w:val="26"/>
          <w:szCs w:val="26"/>
        </w:rPr>
        <w:t>минерагенического</w:t>
      </w:r>
      <w:proofErr w:type="spellEnd"/>
      <w:r w:rsidRPr="00E8101A">
        <w:rPr>
          <w:rFonts w:ascii="Times New Roman" w:hAnsi="Times New Roman" w:cs="Times New Roman"/>
          <w:sz w:val="26"/>
          <w:szCs w:val="26"/>
        </w:rPr>
        <w:t xml:space="preserve"> потенциала территорий Сибири и Дальнего Востока и других геополитически важных регионов России, отсутствие должной поисковой направленности региональных работ на комплексную оценку сырьевого потенциала территорий.</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Нераспределенный фонд недр целого ряда промышленных минералов из-за отсутствия современной информации о его геолого-экономическом потенциале не является </w:t>
      </w:r>
      <w:proofErr w:type="spellStart"/>
      <w:r w:rsidRPr="00E8101A">
        <w:rPr>
          <w:rFonts w:ascii="Times New Roman" w:hAnsi="Times New Roman" w:cs="Times New Roman"/>
          <w:sz w:val="26"/>
          <w:szCs w:val="26"/>
        </w:rPr>
        <w:t>инвестиционно</w:t>
      </w:r>
      <w:proofErr w:type="spellEnd"/>
      <w:r w:rsidRPr="00E8101A">
        <w:rPr>
          <w:rFonts w:ascii="Times New Roman" w:hAnsi="Times New Roman" w:cs="Times New Roman"/>
          <w:sz w:val="26"/>
          <w:szCs w:val="26"/>
        </w:rPr>
        <w:t xml:space="preserve"> привлекательным для недропользователей.</w:t>
      </w:r>
    </w:p>
    <w:p w:rsidR="008B14AC" w:rsidRPr="00E8101A" w:rsidRDefault="008B14AC" w:rsidP="00E8101A">
      <w:pPr>
        <w:pStyle w:val="20"/>
        <w:shd w:val="clear" w:color="auto" w:fill="auto"/>
        <w:spacing w:line="300" w:lineRule="auto"/>
        <w:ind w:firstLine="760"/>
        <w:rPr>
          <w:rFonts w:ascii="Times New Roman" w:hAnsi="Times New Roman"/>
          <w:color w:val="000000"/>
          <w:sz w:val="26"/>
          <w:szCs w:val="26"/>
        </w:rPr>
      </w:pPr>
      <w:r w:rsidRPr="00E8101A">
        <w:rPr>
          <w:rFonts w:ascii="Times New Roman" w:hAnsi="Times New Roman"/>
          <w:sz w:val="26"/>
          <w:szCs w:val="26"/>
        </w:rPr>
        <w:t>Поэтому дальнейшее развитие</w:t>
      </w:r>
      <w:r w:rsidR="001C6395">
        <w:rPr>
          <w:rFonts w:ascii="Times New Roman" w:hAnsi="Times New Roman"/>
          <w:sz w:val="26"/>
          <w:szCs w:val="26"/>
        </w:rPr>
        <w:t xml:space="preserve"> и использование</w:t>
      </w:r>
      <w:r w:rsidRPr="00E8101A">
        <w:rPr>
          <w:rFonts w:ascii="Times New Roman" w:hAnsi="Times New Roman"/>
          <w:sz w:val="26"/>
          <w:szCs w:val="26"/>
        </w:rPr>
        <w:t xml:space="preserve"> МСБ большинства видов неметаллов с подготовкой объектов, способных обеспечить получение высококачественной, конкурентоспособной продукции, будет невозможно без поддержки со стороны государства.</w:t>
      </w:r>
      <w:r w:rsidRPr="00E8101A">
        <w:rPr>
          <w:rFonts w:ascii="Times New Roman" w:hAnsi="Times New Roman"/>
          <w:color w:val="000000"/>
          <w:sz w:val="26"/>
          <w:szCs w:val="26"/>
        </w:rPr>
        <w:t xml:space="preserve"> </w:t>
      </w:r>
    </w:p>
    <w:p w:rsidR="008B14AC" w:rsidRPr="00E8101A" w:rsidRDefault="008B14AC" w:rsidP="00E8101A">
      <w:pPr>
        <w:pStyle w:val="20"/>
        <w:shd w:val="clear" w:color="auto" w:fill="auto"/>
        <w:spacing w:after="124" w:line="300" w:lineRule="auto"/>
        <w:ind w:firstLine="709"/>
        <w:rPr>
          <w:rFonts w:ascii="Times New Roman" w:hAnsi="Times New Roman"/>
          <w:sz w:val="26"/>
          <w:szCs w:val="26"/>
        </w:rPr>
      </w:pPr>
      <w:r w:rsidRPr="00E8101A">
        <w:rPr>
          <w:rFonts w:ascii="Times New Roman" w:hAnsi="Times New Roman"/>
          <w:color w:val="000000"/>
          <w:sz w:val="26"/>
          <w:szCs w:val="26"/>
        </w:rPr>
        <w:t>Действующая ныне подпрограмма "Воспроизводство МСБ и геологическое изучение недр" Государственной программы России "Воспроизводство и использование природных ресурсов", как основа системы перспективного развития МСБ страны не учитывает современные вызовы и не способствует конструктивному решению обострившихся внутриотраслевых проблем: исчерпание "поискового заде</w:t>
      </w:r>
      <w:r w:rsidRPr="00E8101A">
        <w:rPr>
          <w:rFonts w:ascii="Times New Roman" w:hAnsi="Times New Roman"/>
          <w:color w:val="000000"/>
          <w:sz w:val="26"/>
          <w:szCs w:val="26"/>
        </w:rPr>
        <w:lastRenderedPageBreak/>
        <w:t xml:space="preserve">ла", сокращение участков недр для их предоставления в пользование, несбалансированность целей, задач и результатов отдельных этапов и стадий геологоразведочного процесса, снижение эффективности поисковых работ и т.д.). Принятые показатели и направления ГРР не учитывают в ряде случаев реальную структуру запасов промышленных минералов, стоящих на государственном балансе, их географо-экономическую несбалансированность с действующими и планируемыми центрами промышленного производства, современных требований промышленности к качеству минерального сырья. </w:t>
      </w:r>
    </w:p>
    <w:p w:rsidR="008B14AC" w:rsidRPr="001C6395"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При обсуждении проблем рационального использования недр было отмечено, что большая видовая группа т.н. общераспространенных полезных ископаемых, столь необходимая для минерально-строительной индустрии при создании транспортной инфраструктуры, промышленного и жилищного строительства, социально-экономического развития субъектов РФ, требует решения ряда вопросов в области законодательства о недрах и Налогового кодекса.</w:t>
      </w:r>
    </w:p>
    <w:p w:rsidR="008B14AC" w:rsidRPr="00E8101A" w:rsidRDefault="008B14AC" w:rsidP="00E8101A">
      <w:pPr>
        <w:pStyle w:val="20"/>
        <w:shd w:val="clear" w:color="auto" w:fill="auto"/>
        <w:spacing w:before="120" w:after="120" w:line="300" w:lineRule="auto"/>
        <w:ind w:firstLine="567"/>
        <w:rPr>
          <w:rFonts w:ascii="Times New Roman" w:hAnsi="Times New Roman"/>
          <w:b/>
          <w:bCs/>
          <w:color w:val="000000"/>
          <w:spacing w:val="20"/>
          <w:sz w:val="26"/>
          <w:szCs w:val="26"/>
        </w:rPr>
      </w:pPr>
      <w:r w:rsidRPr="00E8101A">
        <w:rPr>
          <w:rFonts w:ascii="Times New Roman" w:hAnsi="Times New Roman"/>
          <w:b/>
          <w:bCs/>
          <w:color w:val="000000"/>
          <w:spacing w:val="20"/>
          <w:sz w:val="26"/>
          <w:szCs w:val="26"/>
        </w:rPr>
        <w:t>Конференция рекомендует:</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Усиление тематических прогнозно-</w:t>
      </w:r>
      <w:proofErr w:type="spellStart"/>
      <w:r w:rsidRPr="00E8101A">
        <w:rPr>
          <w:rFonts w:ascii="Times New Roman" w:hAnsi="Times New Roman" w:cs="Times New Roman"/>
          <w:sz w:val="26"/>
          <w:szCs w:val="26"/>
        </w:rPr>
        <w:t>минерагенических</w:t>
      </w:r>
      <w:proofErr w:type="spellEnd"/>
      <w:r w:rsidRPr="00E8101A">
        <w:rPr>
          <w:rFonts w:ascii="Times New Roman" w:hAnsi="Times New Roman" w:cs="Times New Roman"/>
          <w:sz w:val="26"/>
          <w:szCs w:val="26"/>
        </w:rPr>
        <w:t xml:space="preserve"> работ по комплексной и </w:t>
      </w:r>
      <w:proofErr w:type="spellStart"/>
      <w:r w:rsidRPr="00E8101A">
        <w:rPr>
          <w:rFonts w:ascii="Times New Roman" w:hAnsi="Times New Roman" w:cs="Times New Roman"/>
          <w:sz w:val="26"/>
          <w:szCs w:val="26"/>
        </w:rPr>
        <w:t>повидовой</w:t>
      </w:r>
      <w:proofErr w:type="spellEnd"/>
      <w:r w:rsidRPr="00E8101A">
        <w:rPr>
          <w:rFonts w:ascii="Times New Roman" w:hAnsi="Times New Roman" w:cs="Times New Roman"/>
          <w:sz w:val="26"/>
          <w:szCs w:val="26"/>
        </w:rPr>
        <w:t xml:space="preserve"> оценке территорий, районов на открытие известных и новых геолого-промышленных типов месторождений ТНПИ, с разработкой методов поиска и геолого-поисковых моделей, с расчетами прогнозных оценок сырьевых ресурсов промышленных минералов с целью создания поискового задела на основе современных научных достижений в области наук о Земле;</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 - Усиление поисковой направленности при проведении </w:t>
      </w:r>
      <w:proofErr w:type="spellStart"/>
      <w:r w:rsidRPr="00E8101A">
        <w:rPr>
          <w:rFonts w:ascii="Times New Roman" w:hAnsi="Times New Roman" w:cs="Times New Roman"/>
          <w:sz w:val="26"/>
          <w:szCs w:val="26"/>
        </w:rPr>
        <w:t>геологосъемочных</w:t>
      </w:r>
      <w:proofErr w:type="spellEnd"/>
      <w:r w:rsidRPr="00E8101A">
        <w:rPr>
          <w:rFonts w:ascii="Times New Roman" w:hAnsi="Times New Roman" w:cs="Times New Roman"/>
          <w:sz w:val="26"/>
          <w:szCs w:val="26"/>
        </w:rPr>
        <w:t xml:space="preserve"> работ масштаба 1:200 000 - 1:50 000 с целью создания поискового задела, укрепления существующих и создания альтернативных МСБ неметаллов;</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Разработку и внедрение в практику, в том числе с постановкой опытно-методических и опытно-промышленных работ, концептуально новых, наукоемких  инновационных подходов к оценке качества, технологиям добычи, переработки, обогащения и модификации нерудного  сырья, (включая комплексные и труднообогатимые руды), с получением высоколиквидной продукции многоцелевого использования;</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 </w:t>
      </w:r>
      <w:r w:rsidR="001C6395">
        <w:rPr>
          <w:rFonts w:ascii="Times New Roman" w:hAnsi="Times New Roman" w:cs="Times New Roman"/>
          <w:sz w:val="26"/>
          <w:szCs w:val="26"/>
        </w:rPr>
        <w:t>Проведение г</w:t>
      </w:r>
      <w:r w:rsidRPr="00E8101A">
        <w:rPr>
          <w:rFonts w:ascii="Times New Roman" w:hAnsi="Times New Roman" w:cs="Times New Roman"/>
          <w:sz w:val="26"/>
          <w:szCs w:val="26"/>
        </w:rPr>
        <w:t>еолого-экономическ</w:t>
      </w:r>
      <w:r w:rsidR="001C6395">
        <w:rPr>
          <w:rFonts w:ascii="Times New Roman" w:hAnsi="Times New Roman" w:cs="Times New Roman"/>
          <w:sz w:val="26"/>
          <w:szCs w:val="26"/>
        </w:rPr>
        <w:t>ой</w:t>
      </w:r>
      <w:r w:rsidRPr="00E8101A">
        <w:rPr>
          <w:rFonts w:ascii="Times New Roman" w:hAnsi="Times New Roman" w:cs="Times New Roman"/>
          <w:sz w:val="26"/>
          <w:szCs w:val="26"/>
        </w:rPr>
        <w:t xml:space="preserve"> переоценк</w:t>
      </w:r>
      <w:r w:rsidR="001C6395">
        <w:rPr>
          <w:rFonts w:ascii="Times New Roman" w:hAnsi="Times New Roman" w:cs="Times New Roman"/>
          <w:sz w:val="26"/>
          <w:szCs w:val="26"/>
        </w:rPr>
        <w:t>и</w:t>
      </w:r>
      <w:r w:rsidRPr="00E8101A">
        <w:rPr>
          <w:rFonts w:ascii="Times New Roman" w:hAnsi="Times New Roman" w:cs="Times New Roman"/>
          <w:sz w:val="26"/>
          <w:szCs w:val="26"/>
        </w:rPr>
        <w:t xml:space="preserve"> нераспределенного фонда недр ТНПИ на основе </w:t>
      </w:r>
      <w:r w:rsidR="001C6395" w:rsidRPr="00E8101A">
        <w:rPr>
          <w:rFonts w:ascii="Times New Roman" w:hAnsi="Times New Roman" w:cs="Times New Roman"/>
          <w:sz w:val="26"/>
          <w:szCs w:val="26"/>
        </w:rPr>
        <w:t xml:space="preserve">современных </w:t>
      </w:r>
      <w:r w:rsidRPr="00E8101A">
        <w:rPr>
          <w:rFonts w:ascii="Times New Roman" w:hAnsi="Times New Roman" w:cs="Times New Roman"/>
          <w:sz w:val="26"/>
          <w:szCs w:val="26"/>
        </w:rPr>
        <w:t>требований технологий добычи, обогащения и модификации сырья,  и с учетом тенденций развития мирового рынка сырья и продукции на его основе;</w:t>
      </w:r>
    </w:p>
    <w:p w:rsidR="008B14AC" w:rsidRPr="00E8101A" w:rsidRDefault="008B14AC" w:rsidP="00E8101A">
      <w:pPr>
        <w:spacing w:after="0" w:line="300" w:lineRule="auto"/>
        <w:ind w:firstLine="540"/>
        <w:jc w:val="both"/>
        <w:rPr>
          <w:rFonts w:ascii="Times New Roman" w:hAnsi="Times New Roman" w:cs="Times New Roman"/>
          <w:sz w:val="26"/>
          <w:szCs w:val="26"/>
        </w:rPr>
      </w:pPr>
      <w:r w:rsidRPr="00E8101A">
        <w:rPr>
          <w:rFonts w:ascii="Times New Roman" w:hAnsi="Times New Roman" w:cs="Times New Roman"/>
          <w:sz w:val="26"/>
          <w:szCs w:val="26"/>
        </w:rPr>
        <w:lastRenderedPageBreak/>
        <w:t xml:space="preserve">- Увеличение </w:t>
      </w:r>
      <w:proofErr w:type="gramStart"/>
      <w:r w:rsidRPr="00E8101A">
        <w:rPr>
          <w:rFonts w:ascii="Times New Roman" w:hAnsi="Times New Roman" w:cs="Times New Roman"/>
          <w:sz w:val="26"/>
          <w:szCs w:val="26"/>
        </w:rPr>
        <w:t>объема  геолого</w:t>
      </w:r>
      <w:proofErr w:type="gramEnd"/>
      <w:r w:rsidRPr="00E8101A">
        <w:rPr>
          <w:rFonts w:ascii="Times New Roman" w:hAnsi="Times New Roman" w:cs="Times New Roman"/>
          <w:sz w:val="26"/>
          <w:szCs w:val="26"/>
        </w:rPr>
        <w:t>-разведочных работ по выявлению высокорентабельных месторождений промышленных минералов, как на территориях опережающего экономического развития, так и в экономически освоенных районах;</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 Усиление координации  работ по воспроизводству и освоению  МСБ неметаллов между государственными органами и  </w:t>
      </w:r>
      <w:proofErr w:type="spellStart"/>
      <w:r w:rsidRPr="00E8101A">
        <w:rPr>
          <w:rFonts w:ascii="Times New Roman" w:hAnsi="Times New Roman" w:cs="Times New Roman"/>
          <w:sz w:val="26"/>
          <w:szCs w:val="26"/>
        </w:rPr>
        <w:t>недропользователями</w:t>
      </w:r>
      <w:proofErr w:type="spellEnd"/>
      <w:r w:rsidRPr="00E8101A">
        <w:rPr>
          <w:rFonts w:ascii="Times New Roman" w:hAnsi="Times New Roman" w:cs="Times New Roman"/>
          <w:sz w:val="26"/>
          <w:szCs w:val="26"/>
        </w:rPr>
        <w:t xml:space="preserve">  для обеспечения выполнения  программ социально-экономического развития регионов и  отдельных отраслей промышленности;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Расширение  научно-методических</w:t>
      </w:r>
      <w:r w:rsidR="001C6395">
        <w:rPr>
          <w:rFonts w:ascii="Times New Roman" w:hAnsi="Times New Roman" w:cs="Times New Roman"/>
          <w:sz w:val="26"/>
          <w:szCs w:val="26"/>
        </w:rPr>
        <w:t xml:space="preserve"> и прогнозно-поисковых</w:t>
      </w:r>
      <w:r w:rsidRPr="00E8101A">
        <w:rPr>
          <w:rFonts w:ascii="Times New Roman" w:hAnsi="Times New Roman" w:cs="Times New Roman"/>
          <w:sz w:val="26"/>
          <w:szCs w:val="26"/>
        </w:rPr>
        <w:t xml:space="preserve"> работ </w:t>
      </w:r>
      <w:r w:rsidR="001C6395">
        <w:rPr>
          <w:rFonts w:ascii="Times New Roman" w:hAnsi="Times New Roman" w:cs="Times New Roman"/>
          <w:sz w:val="26"/>
          <w:szCs w:val="26"/>
        </w:rPr>
        <w:t>на</w:t>
      </w:r>
      <w:r w:rsidRPr="00E8101A">
        <w:rPr>
          <w:rFonts w:ascii="Times New Roman" w:hAnsi="Times New Roman" w:cs="Times New Roman"/>
          <w:sz w:val="26"/>
          <w:szCs w:val="26"/>
        </w:rPr>
        <w:t xml:space="preserve"> альтернативны</w:t>
      </w:r>
      <w:r w:rsidR="001C6395">
        <w:rPr>
          <w:rFonts w:ascii="Times New Roman" w:hAnsi="Times New Roman" w:cs="Times New Roman"/>
          <w:sz w:val="26"/>
          <w:szCs w:val="26"/>
        </w:rPr>
        <w:t>е</w:t>
      </w:r>
      <w:r w:rsidRPr="00E8101A">
        <w:rPr>
          <w:rFonts w:ascii="Times New Roman" w:hAnsi="Times New Roman" w:cs="Times New Roman"/>
          <w:sz w:val="26"/>
          <w:szCs w:val="26"/>
        </w:rPr>
        <w:t xml:space="preserve"> источник</w:t>
      </w:r>
      <w:r w:rsidR="001C6395">
        <w:rPr>
          <w:rFonts w:ascii="Times New Roman" w:hAnsi="Times New Roman" w:cs="Times New Roman"/>
          <w:sz w:val="26"/>
          <w:szCs w:val="26"/>
        </w:rPr>
        <w:t>и</w:t>
      </w:r>
      <w:r w:rsidRPr="00E8101A">
        <w:rPr>
          <w:rFonts w:ascii="Times New Roman" w:hAnsi="Times New Roman" w:cs="Times New Roman"/>
          <w:sz w:val="26"/>
          <w:szCs w:val="26"/>
        </w:rPr>
        <w:t xml:space="preserve"> дефицитных видов сырья (</w:t>
      </w:r>
      <w:proofErr w:type="spellStart"/>
      <w:r w:rsidRPr="00E8101A">
        <w:rPr>
          <w:rFonts w:ascii="Times New Roman" w:hAnsi="Times New Roman" w:cs="Times New Roman"/>
          <w:sz w:val="26"/>
          <w:szCs w:val="26"/>
        </w:rPr>
        <w:t>сепиолитов</w:t>
      </w:r>
      <w:proofErr w:type="spellEnd"/>
      <w:r w:rsidRPr="00E8101A">
        <w:rPr>
          <w:rFonts w:ascii="Times New Roman" w:hAnsi="Times New Roman" w:cs="Times New Roman"/>
          <w:sz w:val="26"/>
          <w:szCs w:val="26"/>
        </w:rPr>
        <w:t xml:space="preserve">, аморфных магнезитов и </w:t>
      </w:r>
      <w:proofErr w:type="spellStart"/>
      <w:r w:rsidRPr="00E8101A">
        <w:rPr>
          <w:rFonts w:ascii="Times New Roman" w:hAnsi="Times New Roman" w:cs="Times New Roman"/>
          <w:sz w:val="26"/>
          <w:szCs w:val="26"/>
        </w:rPr>
        <w:t>гидромагнезитов</w:t>
      </w:r>
      <w:proofErr w:type="spellEnd"/>
      <w:r w:rsidRPr="00E8101A">
        <w:rPr>
          <w:rFonts w:ascii="Times New Roman" w:hAnsi="Times New Roman" w:cs="Times New Roman"/>
          <w:sz w:val="26"/>
          <w:szCs w:val="26"/>
        </w:rPr>
        <w:t xml:space="preserve">, галогенных боратов, </w:t>
      </w:r>
      <w:proofErr w:type="spellStart"/>
      <w:r w:rsidRPr="00E8101A">
        <w:rPr>
          <w:rFonts w:ascii="Times New Roman" w:hAnsi="Times New Roman" w:cs="Times New Roman"/>
          <w:sz w:val="26"/>
          <w:szCs w:val="26"/>
        </w:rPr>
        <w:t>давсонита</w:t>
      </w:r>
      <w:proofErr w:type="spellEnd"/>
      <w:r w:rsidRPr="00E8101A">
        <w:rPr>
          <w:rFonts w:ascii="Times New Roman" w:hAnsi="Times New Roman" w:cs="Times New Roman"/>
          <w:sz w:val="26"/>
          <w:szCs w:val="26"/>
        </w:rPr>
        <w:t xml:space="preserve">, жильного барита и др.);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 </w:t>
      </w:r>
      <w:proofErr w:type="gramStart"/>
      <w:r w:rsidRPr="00E8101A">
        <w:rPr>
          <w:rFonts w:ascii="Times New Roman" w:hAnsi="Times New Roman" w:cs="Times New Roman"/>
          <w:sz w:val="26"/>
          <w:szCs w:val="26"/>
        </w:rPr>
        <w:t>Наращивание  объемов</w:t>
      </w:r>
      <w:proofErr w:type="gramEnd"/>
      <w:r w:rsidRPr="00E8101A">
        <w:rPr>
          <w:rFonts w:ascii="Times New Roman" w:hAnsi="Times New Roman" w:cs="Times New Roman"/>
          <w:sz w:val="26"/>
          <w:szCs w:val="26"/>
        </w:rPr>
        <w:t xml:space="preserve"> добычи  промышленных минералов на базе известных месторождений и  расширение  воспроизводства их  минерально-сырьевой базы для реализации проектов по развитию  Сибирского и Дальневосточного регионов, обеспечению неметаллами топливно-энергетического, нефтегазохимического, металлургического комплексов, созданию высокотехнологичных производств, </w:t>
      </w:r>
      <w:r w:rsidRPr="00E8101A">
        <w:rPr>
          <w:rFonts w:ascii="Times New Roman" w:hAnsi="Times New Roman" w:cs="Times New Roman"/>
          <w:color w:val="000000"/>
          <w:sz w:val="26"/>
          <w:szCs w:val="26"/>
        </w:rPr>
        <w:t>модернизации и строительству перерабатывающих производств в промышленности и сельском хозяйстве;</w:t>
      </w:r>
      <w:r w:rsidRPr="00E8101A">
        <w:rPr>
          <w:rFonts w:ascii="Times New Roman" w:hAnsi="Times New Roman" w:cs="Times New Roman"/>
          <w:sz w:val="26"/>
          <w:szCs w:val="26"/>
        </w:rPr>
        <w:t xml:space="preserve"> </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Пересмотр нормативно-технической документации (ТУ, ГОСТы, Типовые программы и др.) для оценки качества и технологических свойств  нерудного сырья</w:t>
      </w:r>
      <w:r w:rsidR="001C6395">
        <w:rPr>
          <w:rFonts w:ascii="Times New Roman" w:hAnsi="Times New Roman" w:cs="Times New Roman"/>
          <w:sz w:val="26"/>
          <w:szCs w:val="26"/>
        </w:rPr>
        <w:t xml:space="preserve"> применительно к международным требованиям и стандартам</w:t>
      </w:r>
      <w:r w:rsidRPr="00E8101A">
        <w:rPr>
          <w:rFonts w:ascii="Times New Roman" w:hAnsi="Times New Roman" w:cs="Times New Roman"/>
          <w:sz w:val="26"/>
          <w:szCs w:val="26"/>
        </w:rPr>
        <w:t>;</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xml:space="preserve">-  Повышение  статуса  (значимости)  системы </w:t>
      </w:r>
      <w:r w:rsidR="001C6395">
        <w:rPr>
          <w:rFonts w:ascii="Times New Roman" w:hAnsi="Times New Roman" w:cs="Times New Roman"/>
          <w:sz w:val="26"/>
          <w:szCs w:val="26"/>
        </w:rPr>
        <w:t>Управления качеством аналитических работ</w:t>
      </w:r>
      <w:r w:rsidRPr="00E8101A">
        <w:rPr>
          <w:rFonts w:ascii="Times New Roman" w:hAnsi="Times New Roman" w:cs="Times New Roman"/>
          <w:sz w:val="26"/>
          <w:szCs w:val="26"/>
        </w:rPr>
        <w:t xml:space="preserve"> </w:t>
      </w:r>
      <w:r w:rsidR="001C6395">
        <w:rPr>
          <w:rFonts w:ascii="Times New Roman" w:hAnsi="Times New Roman" w:cs="Times New Roman"/>
          <w:sz w:val="26"/>
          <w:szCs w:val="26"/>
        </w:rPr>
        <w:t>(</w:t>
      </w:r>
      <w:r w:rsidRPr="00E8101A">
        <w:rPr>
          <w:rFonts w:ascii="Times New Roman" w:hAnsi="Times New Roman" w:cs="Times New Roman"/>
          <w:sz w:val="26"/>
          <w:szCs w:val="26"/>
        </w:rPr>
        <w:t>УКАР</w:t>
      </w:r>
      <w:r w:rsidR="001C6395">
        <w:rPr>
          <w:rFonts w:ascii="Times New Roman" w:hAnsi="Times New Roman" w:cs="Times New Roman"/>
          <w:sz w:val="26"/>
          <w:szCs w:val="26"/>
        </w:rPr>
        <w:t>)</w:t>
      </w:r>
      <w:r w:rsidRPr="00E8101A">
        <w:rPr>
          <w:rFonts w:ascii="Times New Roman" w:hAnsi="Times New Roman" w:cs="Times New Roman"/>
          <w:sz w:val="26"/>
          <w:szCs w:val="26"/>
        </w:rPr>
        <w:t xml:space="preserve">  в части   признания аттестации лабораторий геологической отрасли  при рассмотрении результатов ГРР  и утверждении запасов в ГКЗ;</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Повышение качества научно-методического обеспечения ГРР на промышленные минералы (МИ, МР, МВИ, технологические регламенты, стандартные образцы и др.) с учетом современных требований по системе менеджмента качества, безопасности сырья и продукции, охраны окружающей среды, информационной безопасности;</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Техническое переоснащение лабораторной службы геологической отрасли</w:t>
      </w:r>
      <w:r w:rsidR="001C6395">
        <w:rPr>
          <w:rFonts w:ascii="Times New Roman" w:hAnsi="Times New Roman" w:cs="Times New Roman"/>
          <w:sz w:val="26"/>
          <w:szCs w:val="26"/>
        </w:rPr>
        <w:t>;</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 Регулярное проведение форумов, круглых столов по вопросам развития и эффективного использования ТНПИ с участием недропользователей</w:t>
      </w:r>
      <w:r w:rsidR="001C6395">
        <w:rPr>
          <w:rFonts w:ascii="Times New Roman" w:hAnsi="Times New Roman" w:cs="Times New Roman"/>
          <w:sz w:val="26"/>
          <w:szCs w:val="26"/>
        </w:rPr>
        <w:t xml:space="preserve"> и</w:t>
      </w:r>
      <w:r w:rsidRPr="00E8101A">
        <w:rPr>
          <w:rFonts w:ascii="Times New Roman" w:hAnsi="Times New Roman" w:cs="Times New Roman"/>
          <w:sz w:val="26"/>
          <w:szCs w:val="26"/>
        </w:rPr>
        <w:t xml:space="preserve"> производителей продукции на основе промышленных минералов;</w:t>
      </w:r>
    </w:p>
    <w:p w:rsidR="008B14AC" w:rsidRPr="00E8101A" w:rsidRDefault="008B14AC" w:rsidP="00E8101A">
      <w:pPr>
        <w:spacing w:after="0" w:line="300" w:lineRule="auto"/>
        <w:ind w:firstLine="567"/>
        <w:jc w:val="both"/>
        <w:rPr>
          <w:rFonts w:ascii="Times New Roman" w:hAnsi="Times New Roman" w:cs="Times New Roman"/>
          <w:sz w:val="26"/>
          <w:szCs w:val="26"/>
        </w:rPr>
      </w:pPr>
      <w:r w:rsidRPr="00E8101A">
        <w:rPr>
          <w:rFonts w:ascii="Times New Roman" w:hAnsi="Times New Roman" w:cs="Times New Roman"/>
          <w:sz w:val="26"/>
          <w:szCs w:val="26"/>
        </w:rPr>
        <w:t>-</w:t>
      </w:r>
      <w:r w:rsidR="00E8101A" w:rsidRPr="00E8101A">
        <w:rPr>
          <w:rFonts w:ascii="Times New Roman" w:hAnsi="Times New Roman" w:cs="Times New Roman"/>
          <w:sz w:val="26"/>
          <w:szCs w:val="26"/>
        </w:rPr>
        <w:t xml:space="preserve"> </w:t>
      </w:r>
      <w:r w:rsidRPr="00E8101A">
        <w:rPr>
          <w:rFonts w:ascii="Times New Roman" w:hAnsi="Times New Roman" w:cs="Times New Roman"/>
          <w:sz w:val="26"/>
          <w:szCs w:val="26"/>
        </w:rPr>
        <w:t>Расширение творческих и деловых связей с НИИ и предприятиями зарубежных стран.</w:t>
      </w:r>
    </w:p>
    <w:p w:rsidR="008B14AC" w:rsidRPr="008B2BEC" w:rsidRDefault="008B14AC" w:rsidP="00780E80">
      <w:pPr>
        <w:spacing w:after="0" w:line="240" w:lineRule="auto"/>
        <w:ind w:firstLine="567"/>
        <w:jc w:val="both"/>
        <w:rPr>
          <w:rFonts w:ascii="Times New Roman" w:hAnsi="Times New Roman" w:cs="Times New Roman"/>
          <w:b/>
          <w:bCs/>
          <w:sz w:val="24"/>
          <w:szCs w:val="24"/>
        </w:rPr>
      </w:pPr>
    </w:p>
    <w:p w:rsidR="008B14AC" w:rsidRPr="008B2BEC" w:rsidRDefault="008B14AC" w:rsidP="00C020FA">
      <w:pPr>
        <w:rPr>
          <w:rFonts w:ascii="Times New Roman" w:hAnsi="Times New Roman" w:cs="Times New Roman"/>
          <w:b/>
          <w:bCs/>
          <w:sz w:val="24"/>
          <w:szCs w:val="24"/>
        </w:rPr>
      </w:pPr>
    </w:p>
    <w:p w:rsidR="008B14AC" w:rsidRPr="008B2BEC" w:rsidRDefault="008B14AC" w:rsidP="00C020FA">
      <w:pPr>
        <w:rPr>
          <w:rFonts w:ascii="Times New Roman" w:hAnsi="Times New Roman" w:cs="Times New Roman"/>
          <w:b/>
          <w:bCs/>
          <w:sz w:val="24"/>
          <w:szCs w:val="24"/>
        </w:rPr>
      </w:pPr>
    </w:p>
    <w:sectPr w:rsidR="008B14AC" w:rsidRPr="008B2BEC" w:rsidSect="00EF229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33" w:rsidRDefault="004C7333" w:rsidP="002E1054">
      <w:pPr>
        <w:spacing w:after="0" w:line="240" w:lineRule="auto"/>
      </w:pPr>
      <w:r>
        <w:separator/>
      </w:r>
    </w:p>
  </w:endnote>
  <w:endnote w:type="continuationSeparator" w:id="0">
    <w:p w:rsidR="004C7333" w:rsidRDefault="004C7333" w:rsidP="002E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AC" w:rsidRDefault="008B14AC">
    <w:pPr>
      <w:pStyle w:val="a8"/>
      <w:jc w:val="center"/>
    </w:pPr>
  </w:p>
  <w:p w:rsidR="008B14AC" w:rsidRDefault="008B14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33" w:rsidRDefault="004C7333" w:rsidP="002E1054">
      <w:pPr>
        <w:spacing w:after="0" w:line="240" w:lineRule="auto"/>
      </w:pPr>
      <w:r>
        <w:separator/>
      </w:r>
    </w:p>
  </w:footnote>
  <w:footnote w:type="continuationSeparator" w:id="0">
    <w:p w:rsidR="004C7333" w:rsidRDefault="004C7333" w:rsidP="002E1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80"/>
    <w:rsid w:val="00006240"/>
    <w:rsid w:val="00012D68"/>
    <w:rsid w:val="00014A5F"/>
    <w:rsid w:val="000342FC"/>
    <w:rsid w:val="0006305E"/>
    <w:rsid w:val="00096EDD"/>
    <w:rsid w:val="000C0F3A"/>
    <w:rsid w:val="001000AD"/>
    <w:rsid w:val="00111113"/>
    <w:rsid w:val="001145F7"/>
    <w:rsid w:val="001175A4"/>
    <w:rsid w:val="0014206E"/>
    <w:rsid w:val="00160589"/>
    <w:rsid w:val="001C3267"/>
    <w:rsid w:val="001C6395"/>
    <w:rsid w:val="001E5D6D"/>
    <w:rsid w:val="001E7E9E"/>
    <w:rsid w:val="00220124"/>
    <w:rsid w:val="0022529D"/>
    <w:rsid w:val="00231117"/>
    <w:rsid w:val="00240815"/>
    <w:rsid w:val="002438B5"/>
    <w:rsid w:val="00263EE8"/>
    <w:rsid w:val="002C7846"/>
    <w:rsid w:val="002D6582"/>
    <w:rsid w:val="002E1054"/>
    <w:rsid w:val="002F1601"/>
    <w:rsid w:val="002F2F32"/>
    <w:rsid w:val="002F3535"/>
    <w:rsid w:val="002F6C0F"/>
    <w:rsid w:val="00300318"/>
    <w:rsid w:val="00306CD1"/>
    <w:rsid w:val="00315F4D"/>
    <w:rsid w:val="00316754"/>
    <w:rsid w:val="00316E15"/>
    <w:rsid w:val="00317BF3"/>
    <w:rsid w:val="003709DE"/>
    <w:rsid w:val="0037547F"/>
    <w:rsid w:val="00385C16"/>
    <w:rsid w:val="003A7951"/>
    <w:rsid w:val="003C75C9"/>
    <w:rsid w:val="003D24A1"/>
    <w:rsid w:val="003D4D44"/>
    <w:rsid w:val="003D7FC4"/>
    <w:rsid w:val="00405EDB"/>
    <w:rsid w:val="00437FCE"/>
    <w:rsid w:val="004438A9"/>
    <w:rsid w:val="004652A8"/>
    <w:rsid w:val="004924A3"/>
    <w:rsid w:val="004C5E18"/>
    <w:rsid w:val="004C6BD0"/>
    <w:rsid w:val="004C7333"/>
    <w:rsid w:val="00507009"/>
    <w:rsid w:val="00514D70"/>
    <w:rsid w:val="00540252"/>
    <w:rsid w:val="00585A5A"/>
    <w:rsid w:val="005920F5"/>
    <w:rsid w:val="005C6F17"/>
    <w:rsid w:val="005C7065"/>
    <w:rsid w:val="005D0135"/>
    <w:rsid w:val="005D2BC0"/>
    <w:rsid w:val="005D5209"/>
    <w:rsid w:val="00615F55"/>
    <w:rsid w:val="0063078C"/>
    <w:rsid w:val="006349C2"/>
    <w:rsid w:val="00663363"/>
    <w:rsid w:val="00665D59"/>
    <w:rsid w:val="00682FA4"/>
    <w:rsid w:val="006A2C01"/>
    <w:rsid w:val="006B16CC"/>
    <w:rsid w:val="006B4394"/>
    <w:rsid w:val="006D65C4"/>
    <w:rsid w:val="00732C52"/>
    <w:rsid w:val="00740900"/>
    <w:rsid w:val="00743CA4"/>
    <w:rsid w:val="00780E80"/>
    <w:rsid w:val="007B1B8E"/>
    <w:rsid w:val="007E014E"/>
    <w:rsid w:val="007F44A3"/>
    <w:rsid w:val="00830359"/>
    <w:rsid w:val="00844AF3"/>
    <w:rsid w:val="008670D8"/>
    <w:rsid w:val="008A1FA9"/>
    <w:rsid w:val="008B047A"/>
    <w:rsid w:val="008B14AC"/>
    <w:rsid w:val="008B2BEC"/>
    <w:rsid w:val="008B621B"/>
    <w:rsid w:val="008C1B21"/>
    <w:rsid w:val="008F5C32"/>
    <w:rsid w:val="009041D6"/>
    <w:rsid w:val="0091216B"/>
    <w:rsid w:val="0091297E"/>
    <w:rsid w:val="0094185B"/>
    <w:rsid w:val="00981DAD"/>
    <w:rsid w:val="00984463"/>
    <w:rsid w:val="00986096"/>
    <w:rsid w:val="009A4739"/>
    <w:rsid w:val="009B4293"/>
    <w:rsid w:val="009C22B3"/>
    <w:rsid w:val="00A04E44"/>
    <w:rsid w:val="00A51020"/>
    <w:rsid w:val="00A53049"/>
    <w:rsid w:val="00AD34F2"/>
    <w:rsid w:val="00AD3D10"/>
    <w:rsid w:val="00AE2FF7"/>
    <w:rsid w:val="00B25A43"/>
    <w:rsid w:val="00B605EF"/>
    <w:rsid w:val="00B63194"/>
    <w:rsid w:val="00B6753A"/>
    <w:rsid w:val="00B723A7"/>
    <w:rsid w:val="00B81D66"/>
    <w:rsid w:val="00BC1486"/>
    <w:rsid w:val="00BC1D27"/>
    <w:rsid w:val="00BE4FFF"/>
    <w:rsid w:val="00C020FA"/>
    <w:rsid w:val="00C26467"/>
    <w:rsid w:val="00C45A11"/>
    <w:rsid w:val="00C67CE2"/>
    <w:rsid w:val="00CB2873"/>
    <w:rsid w:val="00D02288"/>
    <w:rsid w:val="00D11FF6"/>
    <w:rsid w:val="00D147E4"/>
    <w:rsid w:val="00D40E0F"/>
    <w:rsid w:val="00D55EF2"/>
    <w:rsid w:val="00D61EA5"/>
    <w:rsid w:val="00D943C5"/>
    <w:rsid w:val="00D967BA"/>
    <w:rsid w:val="00D96DDD"/>
    <w:rsid w:val="00DB3ACD"/>
    <w:rsid w:val="00DB4627"/>
    <w:rsid w:val="00DE3C09"/>
    <w:rsid w:val="00DF658B"/>
    <w:rsid w:val="00E11A6A"/>
    <w:rsid w:val="00E1680C"/>
    <w:rsid w:val="00E25EB3"/>
    <w:rsid w:val="00E349EA"/>
    <w:rsid w:val="00E43843"/>
    <w:rsid w:val="00E75B8D"/>
    <w:rsid w:val="00E8101A"/>
    <w:rsid w:val="00E81797"/>
    <w:rsid w:val="00E91BF5"/>
    <w:rsid w:val="00E94359"/>
    <w:rsid w:val="00EB59B3"/>
    <w:rsid w:val="00EE3B26"/>
    <w:rsid w:val="00EF229B"/>
    <w:rsid w:val="00F01C4E"/>
    <w:rsid w:val="00F2222E"/>
    <w:rsid w:val="00F3527F"/>
    <w:rsid w:val="00F56D88"/>
    <w:rsid w:val="00F81868"/>
    <w:rsid w:val="00FC41AE"/>
    <w:rsid w:val="00FD58D6"/>
    <w:rsid w:val="00FF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1666DA-17E6-458E-A5B9-01E33633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E8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67CE2"/>
    <w:pPr>
      <w:autoSpaceDE w:val="0"/>
      <w:autoSpaceDN w:val="0"/>
      <w:adjustRightInd w:val="0"/>
    </w:pPr>
    <w:rPr>
      <w:rFonts w:ascii="Arial" w:eastAsia="Times New Roman" w:hAnsi="Arial" w:cs="Arial"/>
      <w:color w:val="000000"/>
      <w:sz w:val="24"/>
      <w:szCs w:val="24"/>
    </w:rPr>
  </w:style>
  <w:style w:type="paragraph" w:customStyle="1" w:styleId="1">
    <w:name w:val="Нач. Абз.1и"/>
    <w:basedOn w:val="a"/>
    <w:uiPriority w:val="99"/>
    <w:rsid w:val="00306CD1"/>
    <w:pPr>
      <w:spacing w:after="0" w:line="240" w:lineRule="auto"/>
      <w:ind w:firstLine="709"/>
      <w:jc w:val="both"/>
    </w:pPr>
    <w:rPr>
      <w:rFonts w:ascii="Times New Roman" w:eastAsia="Times New Roman" w:hAnsi="Times New Roman" w:cs="Times New Roman"/>
      <w:sz w:val="24"/>
      <w:szCs w:val="24"/>
      <w:lang w:eastAsia="ru-RU"/>
    </w:rPr>
  </w:style>
  <w:style w:type="paragraph" w:styleId="a3">
    <w:name w:val="Normal (Web)"/>
    <w:basedOn w:val="a"/>
    <w:uiPriority w:val="99"/>
    <w:semiHidden/>
    <w:rsid w:val="00225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37547F"/>
    <w:pPr>
      <w:spacing w:after="0" w:line="240" w:lineRule="auto"/>
    </w:pPr>
    <w:rPr>
      <w:rFonts w:ascii="Tahoma" w:hAnsi="Tahoma" w:cs="Tahoma"/>
      <w:sz w:val="16"/>
      <w:szCs w:val="16"/>
      <w:lang w:eastAsia="ru-RU"/>
    </w:rPr>
  </w:style>
  <w:style w:type="character" w:customStyle="1" w:styleId="a5">
    <w:name w:val="Текст выноски Знак"/>
    <w:link w:val="a4"/>
    <w:uiPriority w:val="99"/>
    <w:semiHidden/>
    <w:locked/>
    <w:rsid w:val="0037547F"/>
    <w:rPr>
      <w:rFonts w:ascii="Tahoma" w:hAnsi="Tahoma" w:cs="Tahoma"/>
      <w:sz w:val="16"/>
      <w:szCs w:val="16"/>
    </w:rPr>
  </w:style>
  <w:style w:type="paragraph" w:styleId="a6">
    <w:name w:val="header"/>
    <w:basedOn w:val="a"/>
    <w:link w:val="a7"/>
    <w:uiPriority w:val="99"/>
    <w:rsid w:val="002E1054"/>
    <w:pPr>
      <w:tabs>
        <w:tab w:val="center" w:pos="4677"/>
        <w:tab w:val="right" w:pos="9355"/>
      </w:tabs>
    </w:pPr>
  </w:style>
  <w:style w:type="character" w:customStyle="1" w:styleId="a7">
    <w:name w:val="Верхний колонтитул Знак"/>
    <w:link w:val="a6"/>
    <w:uiPriority w:val="99"/>
    <w:locked/>
    <w:rsid w:val="002E1054"/>
    <w:rPr>
      <w:sz w:val="22"/>
      <w:szCs w:val="22"/>
      <w:lang w:eastAsia="en-US"/>
    </w:rPr>
  </w:style>
  <w:style w:type="paragraph" w:styleId="a8">
    <w:name w:val="footer"/>
    <w:basedOn w:val="a"/>
    <w:link w:val="a9"/>
    <w:uiPriority w:val="99"/>
    <w:rsid w:val="002E1054"/>
    <w:pPr>
      <w:tabs>
        <w:tab w:val="center" w:pos="4677"/>
        <w:tab w:val="right" w:pos="9355"/>
      </w:tabs>
    </w:pPr>
  </w:style>
  <w:style w:type="character" w:customStyle="1" w:styleId="a9">
    <w:name w:val="Нижний колонтитул Знак"/>
    <w:link w:val="a8"/>
    <w:uiPriority w:val="99"/>
    <w:locked/>
    <w:rsid w:val="002E1054"/>
    <w:rPr>
      <w:sz w:val="22"/>
      <w:szCs w:val="22"/>
      <w:lang w:eastAsia="en-US"/>
    </w:rPr>
  </w:style>
  <w:style w:type="character" w:customStyle="1" w:styleId="2">
    <w:name w:val="Основной текст (2)_"/>
    <w:link w:val="20"/>
    <w:uiPriority w:val="99"/>
    <w:locked/>
    <w:rsid w:val="00B723A7"/>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B723A7"/>
    <w:pPr>
      <w:widowControl w:val="0"/>
      <w:shd w:val="clear" w:color="auto" w:fill="FFFFFF"/>
      <w:spacing w:after="0" w:line="480" w:lineRule="exact"/>
      <w:jc w:val="both"/>
    </w:pPr>
    <w:rPr>
      <w:rFonts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38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Лыгина</dc:creator>
  <cp:lastModifiedBy>Урбан Юлия Евгеньевна</cp:lastModifiedBy>
  <cp:revision>2</cp:revision>
  <cp:lastPrinted>2015-12-08T08:40:00Z</cp:lastPrinted>
  <dcterms:created xsi:type="dcterms:W3CDTF">2015-12-15T13:25:00Z</dcterms:created>
  <dcterms:modified xsi:type="dcterms:W3CDTF">2015-12-15T13:25:00Z</dcterms:modified>
</cp:coreProperties>
</file>