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DA" w:rsidRDefault="00B764DA" w:rsidP="006D4E42">
      <w:pPr>
        <w:jc w:val="center"/>
        <w:rPr>
          <w:rFonts w:cs="Times New Roman"/>
          <w:b/>
          <w:sz w:val="28"/>
          <w:szCs w:val="28"/>
        </w:rPr>
      </w:pPr>
    </w:p>
    <w:p w:rsidR="00BD4885" w:rsidRDefault="00BD4885" w:rsidP="006D4E42">
      <w:pPr>
        <w:jc w:val="center"/>
        <w:rPr>
          <w:rFonts w:cs="Times New Roman"/>
          <w:b/>
          <w:sz w:val="28"/>
          <w:szCs w:val="28"/>
        </w:rPr>
      </w:pPr>
    </w:p>
    <w:p w:rsidR="00344299" w:rsidRDefault="00344299" w:rsidP="006D4E42">
      <w:pPr>
        <w:jc w:val="center"/>
        <w:rPr>
          <w:rFonts w:cs="Times New Roman"/>
          <w:b/>
          <w:sz w:val="28"/>
          <w:szCs w:val="28"/>
        </w:rPr>
      </w:pPr>
    </w:p>
    <w:p w:rsidR="00760CA5" w:rsidRDefault="00760CA5" w:rsidP="006D4E42">
      <w:pPr>
        <w:jc w:val="center"/>
        <w:rPr>
          <w:rFonts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1545021</wp:posOffset>
            </wp:positionH>
            <wp:positionV relativeFrom="paragraph">
              <wp:posOffset>260922</wp:posOffset>
            </wp:positionV>
            <wp:extent cx="4492910" cy="1678608"/>
            <wp:effectExtent l="0" t="0" r="3175" b="0"/>
            <wp:wrapNone/>
            <wp:docPr id="7" name="Рисунок 7" descr="\\fs.mineral-info.local\Общее\Текущие проекты\Оперативные\2017.03.15 Публичная декларация ФАН на 2017 год (Роснедра)\Оформление\Иллюстрации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.mineral-info.local\Общее\Текущие проекты\Оперативные\2017.03.15 Публичная декларация ФАН на 2017 год (Роснедра)\Оформление\Иллюстрации\Облож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36" b="60139"/>
                    <a:stretch/>
                  </pic:blipFill>
                  <pic:spPr bwMode="auto">
                    <a:xfrm>
                      <a:off x="0" y="0"/>
                      <a:ext cx="4501942" cy="168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0CA5" w:rsidRDefault="00760CA5" w:rsidP="006D4E42">
      <w:pPr>
        <w:jc w:val="center"/>
        <w:rPr>
          <w:rFonts w:cs="Times New Roman"/>
          <w:b/>
          <w:sz w:val="28"/>
          <w:szCs w:val="28"/>
        </w:rPr>
      </w:pPr>
    </w:p>
    <w:p w:rsidR="00760CA5" w:rsidRDefault="00760CA5" w:rsidP="006D4E42">
      <w:pPr>
        <w:jc w:val="center"/>
        <w:rPr>
          <w:rFonts w:cs="Times New Roman"/>
          <w:b/>
          <w:sz w:val="28"/>
          <w:szCs w:val="28"/>
        </w:rPr>
      </w:pPr>
    </w:p>
    <w:p w:rsidR="00760CA5" w:rsidRPr="009955DF" w:rsidRDefault="00760CA5" w:rsidP="006D4E42">
      <w:pPr>
        <w:jc w:val="center"/>
        <w:rPr>
          <w:rFonts w:cs="Times New Roman"/>
          <w:b/>
          <w:sz w:val="28"/>
          <w:szCs w:val="28"/>
        </w:rPr>
      </w:pPr>
    </w:p>
    <w:p w:rsidR="00760CA5" w:rsidRPr="009955DF" w:rsidRDefault="00760CA5" w:rsidP="006D4E42">
      <w:pPr>
        <w:jc w:val="center"/>
        <w:rPr>
          <w:rFonts w:cs="Times New Roman"/>
          <w:b/>
          <w:sz w:val="28"/>
          <w:szCs w:val="28"/>
        </w:rPr>
      </w:pPr>
    </w:p>
    <w:p w:rsidR="00760CA5" w:rsidRPr="009955DF" w:rsidRDefault="00760CA5" w:rsidP="006D4E42">
      <w:pPr>
        <w:jc w:val="center"/>
        <w:rPr>
          <w:rFonts w:cs="Times New Roman"/>
          <w:b/>
          <w:sz w:val="28"/>
          <w:szCs w:val="28"/>
        </w:rPr>
      </w:pPr>
    </w:p>
    <w:p w:rsidR="00760CA5" w:rsidRPr="009955DF" w:rsidRDefault="00760CA5" w:rsidP="006D4E42">
      <w:pPr>
        <w:jc w:val="center"/>
        <w:rPr>
          <w:rFonts w:cs="Times New Roman"/>
          <w:b/>
          <w:sz w:val="28"/>
          <w:szCs w:val="28"/>
        </w:rPr>
      </w:pPr>
    </w:p>
    <w:p w:rsidR="00760CA5" w:rsidRPr="009955DF" w:rsidRDefault="00760CA5" w:rsidP="006D4E42">
      <w:pPr>
        <w:jc w:val="center"/>
        <w:rPr>
          <w:rFonts w:cs="Times New Roman"/>
          <w:b/>
          <w:sz w:val="28"/>
          <w:szCs w:val="28"/>
        </w:rPr>
      </w:pPr>
    </w:p>
    <w:p w:rsidR="002619E5" w:rsidRPr="009955DF" w:rsidRDefault="002619E5" w:rsidP="006D4E42">
      <w:pPr>
        <w:jc w:val="center"/>
        <w:rPr>
          <w:rFonts w:cs="Times New Roman"/>
          <w:b/>
          <w:color w:val="0070C0"/>
          <w:sz w:val="72"/>
          <w:szCs w:val="72"/>
        </w:rPr>
      </w:pPr>
    </w:p>
    <w:p w:rsidR="00C84B41" w:rsidRPr="009955DF" w:rsidRDefault="00760CA5" w:rsidP="006D4E42">
      <w:pPr>
        <w:jc w:val="center"/>
        <w:rPr>
          <w:rFonts w:cs="Times New Roman"/>
          <w:color w:val="C00000"/>
          <w:sz w:val="44"/>
          <w:szCs w:val="44"/>
        </w:rPr>
      </w:pPr>
      <w:r w:rsidRPr="009955DF">
        <w:rPr>
          <w:rFonts w:cs="Times New Roman"/>
          <w:b/>
          <w:color w:val="C00000"/>
          <w:sz w:val="72"/>
          <w:szCs w:val="72"/>
        </w:rPr>
        <w:t>ОТЧЕТ</w:t>
      </w:r>
      <w:r w:rsidRPr="009955DF">
        <w:rPr>
          <w:rFonts w:cs="Times New Roman"/>
          <w:color w:val="C00000"/>
          <w:sz w:val="56"/>
          <w:szCs w:val="56"/>
        </w:rPr>
        <w:br/>
      </w:r>
      <w:r w:rsidR="006D4E42" w:rsidRPr="009955DF">
        <w:rPr>
          <w:rFonts w:cs="Times New Roman"/>
          <w:color w:val="C00000"/>
          <w:sz w:val="44"/>
          <w:szCs w:val="44"/>
        </w:rPr>
        <w:t xml:space="preserve">о реализации Публичной декларации </w:t>
      </w:r>
      <w:r w:rsidRPr="009955DF">
        <w:rPr>
          <w:rFonts w:cs="Times New Roman"/>
          <w:color w:val="C00000"/>
          <w:sz w:val="44"/>
          <w:szCs w:val="44"/>
        </w:rPr>
        <w:br/>
      </w:r>
      <w:r w:rsidR="006D4E42" w:rsidRPr="009955DF">
        <w:rPr>
          <w:rFonts w:cs="Times New Roman"/>
          <w:color w:val="C00000"/>
          <w:sz w:val="44"/>
          <w:szCs w:val="44"/>
        </w:rPr>
        <w:t xml:space="preserve">целей и задач Федерального агентства </w:t>
      </w:r>
      <w:r w:rsidR="00C84B41" w:rsidRPr="009955DF">
        <w:rPr>
          <w:rFonts w:cs="Times New Roman"/>
          <w:color w:val="C00000"/>
          <w:sz w:val="44"/>
          <w:szCs w:val="44"/>
        </w:rPr>
        <w:br/>
      </w:r>
      <w:r w:rsidR="006D4E42" w:rsidRPr="009955DF">
        <w:rPr>
          <w:rFonts w:cs="Times New Roman"/>
          <w:color w:val="C00000"/>
          <w:sz w:val="44"/>
          <w:szCs w:val="44"/>
        </w:rPr>
        <w:t xml:space="preserve">по недропользованию </w:t>
      </w:r>
      <w:r w:rsidRPr="009955DF">
        <w:rPr>
          <w:rFonts w:cs="Times New Roman"/>
          <w:color w:val="C00000"/>
          <w:sz w:val="44"/>
          <w:szCs w:val="44"/>
        </w:rPr>
        <w:br/>
      </w:r>
      <w:r w:rsidR="006D4E42" w:rsidRPr="009955DF">
        <w:rPr>
          <w:rFonts w:cs="Times New Roman"/>
          <w:color w:val="C00000"/>
          <w:sz w:val="44"/>
          <w:szCs w:val="44"/>
        </w:rPr>
        <w:t xml:space="preserve">на 2017 год за </w:t>
      </w:r>
      <w:r w:rsidR="0024430E">
        <w:rPr>
          <w:rFonts w:cs="Times New Roman"/>
          <w:color w:val="C00000"/>
          <w:sz w:val="44"/>
          <w:szCs w:val="44"/>
        </w:rPr>
        <w:t>9</w:t>
      </w:r>
      <w:r w:rsidR="006D4E42" w:rsidRPr="009955DF">
        <w:rPr>
          <w:rFonts w:cs="Times New Roman"/>
          <w:color w:val="C00000"/>
          <w:sz w:val="44"/>
          <w:szCs w:val="44"/>
        </w:rPr>
        <w:t xml:space="preserve"> месяцев</w:t>
      </w:r>
    </w:p>
    <w:p w:rsidR="00C84B41" w:rsidRPr="009955DF" w:rsidRDefault="00C84B41">
      <w:pPr>
        <w:spacing w:before="0" w:line="259" w:lineRule="auto"/>
        <w:jc w:val="left"/>
        <w:rPr>
          <w:rFonts w:cs="Times New Roman"/>
          <w:color w:val="1F4E79" w:themeColor="accent1" w:themeShade="80"/>
          <w:sz w:val="44"/>
          <w:szCs w:val="44"/>
        </w:rPr>
      </w:pPr>
      <w:r w:rsidRPr="009955DF">
        <w:rPr>
          <w:rFonts w:cs="Times New Roman"/>
          <w:color w:val="1F4E79" w:themeColor="accent1" w:themeShade="80"/>
          <w:sz w:val="44"/>
          <w:szCs w:val="44"/>
        </w:rPr>
        <w:br w:type="page"/>
      </w:r>
    </w:p>
    <w:p w:rsidR="00C84B41" w:rsidRPr="009955DF" w:rsidRDefault="00C84B41" w:rsidP="00C84B41">
      <w:pPr>
        <w:spacing w:after="240" w:line="288" w:lineRule="auto"/>
        <w:rPr>
          <w:rFonts w:eastAsia="Times New Roman" w:cs="Times New Roman"/>
          <w:color w:val="1F4E79" w:themeColor="accent1" w:themeShade="80"/>
          <w:sz w:val="28"/>
          <w:szCs w:val="28"/>
          <w:lang w:eastAsia="ru-RU"/>
        </w:rPr>
      </w:pPr>
    </w:p>
    <w:p w:rsidR="00C84B41" w:rsidRPr="009955DF" w:rsidRDefault="00C84B41" w:rsidP="00C84B41">
      <w:pPr>
        <w:spacing w:after="240" w:line="288" w:lineRule="auto"/>
        <w:rPr>
          <w:rFonts w:eastAsia="Times New Roman" w:cs="Times New Roman"/>
          <w:color w:val="1F4E79" w:themeColor="accent1" w:themeShade="80"/>
          <w:sz w:val="28"/>
          <w:szCs w:val="28"/>
          <w:lang w:eastAsia="ru-RU"/>
        </w:rPr>
      </w:pPr>
    </w:p>
    <w:p w:rsidR="00C84B41" w:rsidRPr="009955DF" w:rsidRDefault="00C84B41" w:rsidP="00C84B41">
      <w:pPr>
        <w:spacing w:after="240" w:line="288" w:lineRule="auto"/>
        <w:rPr>
          <w:rFonts w:eastAsia="Times New Roman" w:cs="Times New Roman"/>
          <w:color w:val="1F4E79" w:themeColor="accent1" w:themeShade="80"/>
          <w:sz w:val="28"/>
          <w:szCs w:val="28"/>
          <w:lang w:eastAsia="ru-RU"/>
        </w:rPr>
      </w:pPr>
    </w:p>
    <w:p w:rsidR="00C84B41" w:rsidRPr="009955DF" w:rsidRDefault="00C84B41" w:rsidP="00C84B41">
      <w:pPr>
        <w:spacing w:after="240" w:line="288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C84B41" w:rsidRPr="009955DF" w:rsidRDefault="00C84B41" w:rsidP="00C84B41">
      <w:pPr>
        <w:spacing w:after="240" w:line="288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C84B41" w:rsidRPr="009955DF" w:rsidRDefault="00C84B41" w:rsidP="00137823">
      <w:pPr>
        <w:spacing w:after="240" w:line="288" w:lineRule="auto"/>
        <w:jc w:val="left"/>
        <w:rPr>
          <w:rFonts w:eastAsia="Times New Roman" w:cs="Times New Roman"/>
          <w:color w:val="1F4E79" w:themeColor="accent1" w:themeShade="8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1F4E79" w:themeColor="accent1" w:themeShade="80"/>
          <w:sz w:val="28"/>
          <w:szCs w:val="28"/>
          <w:lang w:eastAsia="ru-RU"/>
        </w:rPr>
        <w:t>ОГЛАВЛЕНИЕ</w:t>
      </w:r>
    </w:p>
    <w:p w:rsidR="00C84B41" w:rsidRPr="009955DF" w:rsidRDefault="00C84B41" w:rsidP="00137823">
      <w:pPr>
        <w:pStyle w:val="11"/>
        <w:jc w:val="left"/>
        <w:rPr>
          <w:rFonts w:eastAsiaTheme="minorEastAsia" w:cs="Times New Roman"/>
          <w:noProof/>
          <w:sz w:val="28"/>
          <w:szCs w:val="28"/>
          <w:lang w:eastAsia="ru-RU"/>
        </w:rPr>
      </w:pPr>
      <w:r w:rsidRPr="009955DF">
        <w:rPr>
          <w:rStyle w:val="ad"/>
          <w:rFonts w:cs="Times New Roman"/>
          <w:noProof/>
          <w:color w:val="auto"/>
          <w:sz w:val="28"/>
          <w:szCs w:val="28"/>
          <w:u w:val="none"/>
        </w:rPr>
        <w:t xml:space="preserve">1.  Организация </w:t>
      </w:r>
      <w:r w:rsidR="001374B4">
        <w:rPr>
          <w:rStyle w:val="ad"/>
          <w:rFonts w:cs="Times New Roman"/>
          <w:noProof/>
          <w:color w:val="auto"/>
          <w:sz w:val="28"/>
          <w:szCs w:val="28"/>
          <w:u w:val="none"/>
        </w:rPr>
        <w:t xml:space="preserve">государственного </w:t>
      </w:r>
      <w:r w:rsidRPr="009955DF">
        <w:rPr>
          <w:rStyle w:val="ad"/>
          <w:rFonts w:cs="Times New Roman"/>
          <w:noProof/>
          <w:color w:val="auto"/>
          <w:sz w:val="28"/>
          <w:szCs w:val="28"/>
          <w:u w:val="none"/>
        </w:rPr>
        <w:t>геологического изучения недр</w:t>
      </w:r>
      <w:r w:rsidRPr="009955DF">
        <w:rPr>
          <w:rFonts w:cs="Times New Roman"/>
          <w:noProof/>
          <w:webHidden/>
          <w:sz w:val="28"/>
          <w:szCs w:val="28"/>
        </w:rPr>
        <w:tab/>
      </w:r>
      <w:r w:rsidR="00EC76FA" w:rsidRPr="009955DF">
        <w:rPr>
          <w:rFonts w:cs="Times New Roman"/>
          <w:noProof/>
          <w:webHidden/>
          <w:sz w:val="28"/>
          <w:szCs w:val="28"/>
        </w:rPr>
        <w:t>3</w:t>
      </w:r>
    </w:p>
    <w:p w:rsidR="00C84B41" w:rsidRPr="009955DF" w:rsidRDefault="00C84B41" w:rsidP="00137823">
      <w:pPr>
        <w:pStyle w:val="11"/>
        <w:jc w:val="left"/>
        <w:rPr>
          <w:rFonts w:eastAsiaTheme="minorEastAsia" w:cs="Times New Roman"/>
          <w:noProof/>
          <w:sz w:val="28"/>
          <w:szCs w:val="28"/>
          <w:lang w:eastAsia="ru-RU"/>
        </w:rPr>
      </w:pPr>
      <w:r w:rsidRPr="009955DF">
        <w:rPr>
          <w:rStyle w:val="ad"/>
          <w:rFonts w:cs="Times New Roman"/>
          <w:noProof/>
          <w:color w:val="auto"/>
          <w:sz w:val="28"/>
          <w:szCs w:val="28"/>
          <w:u w:val="none"/>
        </w:rPr>
        <w:t xml:space="preserve">2. Организация работ по воспроизводству минерально-сырьевой </w:t>
      </w:r>
      <w:r w:rsidR="00B77EB2" w:rsidRPr="009955DF">
        <w:rPr>
          <w:rStyle w:val="ad"/>
          <w:rFonts w:cs="Times New Roman"/>
          <w:noProof/>
          <w:color w:val="auto"/>
          <w:sz w:val="28"/>
          <w:szCs w:val="28"/>
          <w:u w:val="none"/>
        </w:rPr>
        <w:br/>
      </w:r>
      <w:r w:rsidRPr="009955DF">
        <w:rPr>
          <w:rStyle w:val="ad"/>
          <w:rFonts w:cs="Times New Roman"/>
          <w:noProof/>
          <w:color w:val="auto"/>
          <w:sz w:val="28"/>
          <w:szCs w:val="28"/>
          <w:u w:val="none"/>
        </w:rPr>
        <w:t>базы России.</w:t>
      </w:r>
      <w:r w:rsidRPr="009955DF">
        <w:rPr>
          <w:rFonts w:cs="Times New Roman"/>
          <w:noProof/>
          <w:webHidden/>
          <w:sz w:val="28"/>
          <w:szCs w:val="28"/>
        </w:rPr>
        <w:tab/>
      </w:r>
      <w:r w:rsidR="00EC76FA" w:rsidRPr="009955DF">
        <w:rPr>
          <w:rFonts w:cs="Times New Roman"/>
          <w:noProof/>
          <w:webHidden/>
          <w:sz w:val="28"/>
          <w:szCs w:val="28"/>
        </w:rPr>
        <w:t>4</w:t>
      </w:r>
    </w:p>
    <w:p w:rsidR="00C84B41" w:rsidRPr="009955DF" w:rsidRDefault="00C84B41" w:rsidP="00137823">
      <w:pPr>
        <w:pStyle w:val="11"/>
        <w:jc w:val="left"/>
        <w:rPr>
          <w:rFonts w:eastAsiaTheme="minorEastAsia" w:cs="Times New Roman"/>
          <w:noProof/>
          <w:sz w:val="28"/>
          <w:szCs w:val="28"/>
          <w:lang w:eastAsia="ru-RU"/>
        </w:rPr>
      </w:pPr>
      <w:r w:rsidRPr="009955DF">
        <w:rPr>
          <w:rStyle w:val="ad"/>
          <w:rFonts w:cs="Times New Roman"/>
          <w:noProof/>
          <w:color w:val="auto"/>
          <w:sz w:val="28"/>
          <w:szCs w:val="28"/>
          <w:u w:val="none"/>
        </w:rPr>
        <w:t>3. Организационное обеспечение государственной системы лицензирования пользования недрами</w:t>
      </w:r>
      <w:r w:rsidRPr="009955DF">
        <w:rPr>
          <w:rFonts w:cs="Times New Roman"/>
          <w:noProof/>
          <w:webHidden/>
          <w:sz w:val="28"/>
          <w:szCs w:val="28"/>
        </w:rPr>
        <w:tab/>
      </w:r>
      <w:r w:rsidR="00EC76FA" w:rsidRPr="009955DF">
        <w:rPr>
          <w:rFonts w:cs="Times New Roman"/>
          <w:noProof/>
          <w:webHidden/>
          <w:sz w:val="28"/>
          <w:szCs w:val="28"/>
        </w:rPr>
        <w:t>5</w:t>
      </w:r>
    </w:p>
    <w:p w:rsidR="00C84B41" w:rsidRPr="009955DF" w:rsidRDefault="00C84B41" w:rsidP="00137823">
      <w:pPr>
        <w:pStyle w:val="11"/>
        <w:jc w:val="left"/>
        <w:rPr>
          <w:rFonts w:eastAsiaTheme="minorEastAsia" w:cs="Times New Roman"/>
          <w:noProof/>
          <w:sz w:val="28"/>
          <w:szCs w:val="28"/>
          <w:lang w:eastAsia="ru-RU"/>
        </w:rPr>
      </w:pPr>
      <w:r w:rsidRPr="009955DF">
        <w:rPr>
          <w:rStyle w:val="ad"/>
          <w:rFonts w:cs="Times New Roman"/>
          <w:noProof/>
          <w:color w:val="auto"/>
          <w:sz w:val="28"/>
          <w:szCs w:val="28"/>
          <w:u w:val="none"/>
        </w:rPr>
        <w:t>4. Организация и проведение государственной экспертизы информации о разведанных запасах полезных ископаемых</w:t>
      </w:r>
      <w:r w:rsidRPr="009955DF">
        <w:rPr>
          <w:rFonts w:cs="Times New Roman"/>
          <w:noProof/>
          <w:webHidden/>
          <w:sz w:val="28"/>
          <w:szCs w:val="28"/>
        </w:rPr>
        <w:tab/>
      </w:r>
      <w:r w:rsidR="00EC76FA" w:rsidRPr="009955DF">
        <w:rPr>
          <w:rFonts w:cs="Times New Roman"/>
          <w:noProof/>
          <w:webHidden/>
          <w:sz w:val="28"/>
          <w:szCs w:val="28"/>
        </w:rPr>
        <w:t>6</w:t>
      </w:r>
    </w:p>
    <w:p w:rsidR="00C84B41" w:rsidRPr="009955DF" w:rsidRDefault="00C84B41" w:rsidP="00137823">
      <w:pPr>
        <w:pStyle w:val="11"/>
        <w:jc w:val="left"/>
        <w:rPr>
          <w:rFonts w:eastAsiaTheme="minorEastAsia" w:cs="Times New Roman"/>
          <w:noProof/>
          <w:sz w:val="28"/>
          <w:szCs w:val="28"/>
          <w:lang w:eastAsia="ru-RU"/>
        </w:rPr>
      </w:pPr>
      <w:r w:rsidRPr="009955DF">
        <w:rPr>
          <w:rStyle w:val="ad"/>
          <w:rFonts w:cs="Times New Roman"/>
          <w:noProof/>
          <w:color w:val="auto"/>
          <w:sz w:val="28"/>
          <w:szCs w:val="28"/>
          <w:u w:val="none"/>
        </w:rPr>
        <w:t>5. Рассмотрение и согласование проектной документации на разработку месторождений</w:t>
      </w:r>
      <w:r w:rsidRPr="009955DF">
        <w:rPr>
          <w:rFonts w:cs="Times New Roman"/>
          <w:noProof/>
          <w:webHidden/>
          <w:sz w:val="28"/>
          <w:szCs w:val="28"/>
        </w:rPr>
        <w:tab/>
      </w:r>
      <w:r w:rsidR="00EC76FA" w:rsidRPr="009955DF">
        <w:rPr>
          <w:rFonts w:cs="Times New Roman"/>
          <w:noProof/>
          <w:webHidden/>
          <w:sz w:val="28"/>
          <w:szCs w:val="28"/>
        </w:rPr>
        <w:t>6</w:t>
      </w:r>
    </w:p>
    <w:p w:rsidR="00C84B41" w:rsidRPr="009955DF" w:rsidRDefault="00C84B41" w:rsidP="00137823">
      <w:pPr>
        <w:pStyle w:val="11"/>
        <w:jc w:val="left"/>
        <w:rPr>
          <w:rFonts w:eastAsiaTheme="minorEastAsia" w:cs="Times New Roman"/>
          <w:noProof/>
          <w:sz w:val="28"/>
          <w:szCs w:val="28"/>
          <w:lang w:eastAsia="ru-RU"/>
        </w:rPr>
      </w:pPr>
      <w:r w:rsidRPr="009955DF">
        <w:rPr>
          <w:rStyle w:val="ad"/>
          <w:rFonts w:cs="Times New Roman"/>
          <w:noProof/>
          <w:color w:val="auto"/>
          <w:sz w:val="28"/>
          <w:szCs w:val="28"/>
          <w:u w:val="none"/>
        </w:rPr>
        <w:t xml:space="preserve">6. Сбор, хранение и предоставление в пользование </w:t>
      </w:r>
      <w:r w:rsidR="00137823" w:rsidRPr="009955DF">
        <w:rPr>
          <w:rStyle w:val="ad"/>
          <w:rFonts w:cs="Times New Roman"/>
          <w:noProof/>
          <w:color w:val="auto"/>
          <w:sz w:val="28"/>
          <w:szCs w:val="28"/>
          <w:u w:val="none"/>
        </w:rPr>
        <w:br/>
      </w:r>
      <w:r w:rsidRPr="009955DF">
        <w:rPr>
          <w:rStyle w:val="ad"/>
          <w:rFonts w:cs="Times New Roman"/>
          <w:noProof/>
          <w:color w:val="auto"/>
          <w:sz w:val="28"/>
          <w:szCs w:val="28"/>
          <w:u w:val="none"/>
        </w:rPr>
        <w:t>геологической информации</w:t>
      </w:r>
      <w:r w:rsidRPr="009955DF">
        <w:rPr>
          <w:rFonts w:cs="Times New Roman"/>
          <w:noProof/>
          <w:webHidden/>
          <w:sz w:val="28"/>
          <w:szCs w:val="28"/>
        </w:rPr>
        <w:tab/>
      </w:r>
      <w:r w:rsidR="00EC76FA" w:rsidRPr="009955DF">
        <w:rPr>
          <w:rFonts w:cs="Times New Roman"/>
          <w:noProof/>
          <w:webHidden/>
          <w:sz w:val="28"/>
          <w:szCs w:val="28"/>
        </w:rPr>
        <w:t>7</w:t>
      </w:r>
    </w:p>
    <w:p w:rsidR="00C84B41" w:rsidRPr="009955DF" w:rsidRDefault="00C84B41" w:rsidP="00137823">
      <w:pPr>
        <w:pStyle w:val="11"/>
        <w:jc w:val="left"/>
        <w:rPr>
          <w:rFonts w:eastAsiaTheme="minorEastAsia" w:cs="Times New Roman"/>
          <w:noProof/>
          <w:sz w:val="28"/>
          <w:szCs w:val="28"/>
          <w:lang w:eastAsia="ru-RU"/>
        </w:rPr>
      </w:pPr>
      <w:r w:rsidRPr="009955DF">
        <w:rPr>
          <w:rStyle w:val="ad"/>
          <w:rFonts w:cs="Times New Roman"/>
          <w:noProof/>
          <w:color w:val="auto"/>
          <w:sz w:val="28"/>
          <w:szCs w:val="28"/>
          <w:u w:val="none"/>
        </w:rPr>
        <w:t>7. Кадровое обеспечение деятельности Роснедр</w:t>
      </w:r>
      <w:r w:rsidRPr="009955DF">
        <w:rPr>
          <w:rFonts w:cs="Times New Roman"/>
          <w:noProof/>
          <w:webHidden/>
          <w:sz w:val="28"/>
          <w:szCs w:val="28"/>
        </w:rPr>
        <w:tab/>
      </w:r>
      <w:r w:rsidR="00EC76FA" w:rsidRPr="009955DF">
        <w:rPr>
          <w:rFonts w:cs="Times New Roman"/>
          <w:noProof/>
          <w:webHidden/>
          <w:sz w:val="28"/>
          <w:szCs w:val="28"/>
        </w:rPr>
        <w:t>8</w:t>
      </w:r>
    </w:p>
    <w:p w:rsidR="00C84B41" w:rsidRPr="009955DF" w:rsidRDefault="00C84B41" w:rsidP="00137823">
      <w:pPr>
        <w:spacing w:before="360" w:after="240" w:line="288" w:lineRule="auto"/>
        <w:jc w:val="left"/>
        <w:rPr>
          <w:rFonts w:eastAsia="Times New Roman" w:cs="Times New Roman"/>
          <w:b/>
          <w:caps/>
          <w:sz w:val="28"/>
          <w:szCs w:val="28"/>
          <w:lang w:eastAsia="ru-RU"/>
        </w:rPr>
      </w:pPr>
      <w:r w:rsidRPr="009955DF">
        <w:rPr>
          <w:rFonts w:cs="Times New Roman"/>
          <w:sz w:val="28"/>
          <w:szCs w:val="28"/>
        </w:rPr>
        <w:br w:type="page"/>
      </w:r>
    </w:p>
    <w:p w:rsidR="006E302F" w:rsidRPr="009955DF" w:rsidRDefault="006E302F" w:rsidP="006D4E42">
      <w:pPr>
        <w:pStyle w:val="1"/>
        <w:rPr>
          <w:rFonts w:ascii="Times New Roman" w:hAnsi="Times New Roman" w:cs="Times New Roman"/>
        </w:rPr>
      </w:pPr>
      <w:bookmarkStart w:id="0" w:name="_Toc489276298"/>
    </w:p>
    <w:p w:rsidR="006D4E42" w:rsidRPr="009955DF" w:rsidRDefault="006D4E42" w:rsidP="009955DF">
      <w:pPr>
        <w:pStyle w:val="1"/>
        <w:rPr>
          <w:rFonts w:ascii="Times New Roman" w:hAnsi="Times New Roman" w:cs="Times New Roman"/>
        </w:rPr>
      </w:pPr>
      <w:r w:rsidRPr="009955DF">
        <w:rPr>
          <w:rFonts w:ascii="Times New Roman" w:hAnsi="Times New Roman" w:cs="Times New Roman"/>
        </w:rPr>
        <w:t xml:space="preserve">1. Организация </w:t>
      </w:r>
      <w:r w:rsidR="00DE07C5">
        <w:rPr>
          <w:rFonts w:ascii="Times New Roman" w:hAnsi="Times New Roman" w:cs="Times New Roman"/>
        </w:rPr>
        <w:t xml:space="preserve">ГОСУДАРСТВЕННОГО </w:t>
      </w:r>
      <w:r w:rsidRPr="009955DF">
        <w:rPr>
          <w:rFonts w:ascii="Times New Roman" w:hAnsi="Times New Roman" w:cs="Times New Roman"/>
        </w:rPr>
        <w:t>геологического изучения недр</w:t>
      </w:r>
      <w:bookmarkEnd w:id="0"/>
    </w:p>
    <w:p w:rsidR="00DE07C5" w:rsidRPr="00DE07C5" w:rsidRDefault="006D4E42" w:rsidP="009955DF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части организации </w:t>
      </w:r>
      <w:r w:rsidR="00DE07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государственного 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геологического изучения недр за </w:t>
      </w:r>
      <w:r w:rsidR="00963B96" w:rsidRPr="001374B4">
        <w:rPr>
          <w:rFonts w:eastAsia="Times New Roman" w:cs="Times New Roman"/>
          <w:color w:val="000000"/>
          <w:sz w:val="28"/>
          <w:szCs w:val="28"/>
          <w:lang w:eastAsia="ru-RU"/>
        </w:rPr>
        <w:t>9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месяцев 2017 года выполнялись работы по </w:t>
      </w:r>
      <w:r w:rsidR="001374B4">
        <w:rPr>
          <w:rFonts w:eastAsia="Times New Roman" w:cs="Times New Roman"/>
          <w:color w:val="000000"/>
          <w:sz w:val="28"/>
          <w:szCs w:val="28"/>
          <w:lang w:eastAsia="ru-RU"/>
        </w:rPr>
        <w:t>следующим направлениям</w:t>
      </w:r>
      <w:r w:rsidR="00DE07C5" w:rsidRPr="00DE07C5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6D4E42" w:rsidRPr="009955DF" w:rsidRDefault="006D4E42" w:rsidP="009955DF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1.</w:t>
      </w:r>
      <w:r w:rsidR="00E305DD" w:rsidRPr="009955DF">
        <w:rPr>
          <w:rFonts w:eastAsia="Times New Roman" w:cs="Times New Roman"/>
          <w:color w:val="000000"/>
          <w:sz w:val="28"/>
          <w:szCs w:val="28"/>
          <w:lang w:eastAsia="ru-RU"/>
        </w:rPr>
        <w:t>1.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«Проведение работ по сводному и обзорному геологическому картографированию на территории суши Российской Федерации». </w:t>
      </w:r>
    </w:p>
    <w:p w:rsidR="006D4E42" w:rsidRPr="009955DF" w:rsidRDefault="006D4E42" w:rsidP="009955DF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Выполнялись работы по созданию и актуализации сводных и обзорных карт геологического содержания масштабов 1:2 500 000 - 1:5 000 000, атласов, моделей геологического строения, </w:t>
      </w:r>
      <w:proofErr w:type="spellStart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полимасштабных</w:t>
      </w:r>
      <w:proofErr w:type="spellEnd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геолого-картографических моделей, мониторингу и дополнению сводной цифровой геолого-картографической основы России.</w:t>
      </w:r>
    </w:p>
    <w:p w:rsidR="006D4E42" w:rsidRPr="009955DF" w:rsidRDefault="00E305DD" w:rsidP="009955DF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1.</w:t>
      </w:r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 «Проведение работ по геологическому картографированию масштаба 1:1000 000 на территории суши Российской Федерации». </w:t>
      </w:r>
    </w:p>
    <w:p w:rsidR="006D4E42" w:rsidRPr="009955DF" w:rsidRDefault="006D4E42" w:rsidP="009955DF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Выполнялись подготовительные работы по созданию и подготовке к изданию комплектов государственных геологических карт масштаба 1:1000 000 (10 л.); созданию комплектов геохимических основ Госгеолкарты-1000/3 по группе листов территории Российской Федерации (4 л). </w:t>
      </w:r>
    </w:p>
    <w:p w:rsidR="006D4E42" w:rsidRPr="009955DF" w:rsidRDefault="00E305DD" w:rsidP="009955DF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1.</w:t>
      </w:r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>3. «Проведение региональных геолого-съемочных работ масштаба 1:200 000 на территории суши Российской Федерации».</w:t>
      </w:r>
    </w:p>
    <w:p w:rsidR="006D4E42" w:rsidRPr="009955DF" w:rsidRDefault="006D4E42" w:rsidP="009955DF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Выполнялись подготовительные работы по проведению региональных геолого-съемочных работ масштаба 1:200 000, в </w:t>
      </w:r>
      <w:proofErr w:type="spellStart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по оценке изученности и геологическому обоснованию проведения ГДП-200, созданию геофизических, геохимических и дистанционных основ, геологическому </w:t>
      </w:r>
      <w:proofErr w:type="spellStart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доизучению</w:t>
      </w:r>
      <w:proofErr w:type="spellEnd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площадей и геологической съемке масштаба 1:200 000, составлению и подготовке к изданию комплектов Госгеолгарты-200 на группы листов в пределах Северо-Западного и Центрального ФО (18 л.), Уральского  и Приволжского</w:t>
      </w:r>
      <w:proofErr w:type="gramEnd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ФО (8 л.), Южного и Северо-Кавказского ФО (5</w:t>
      </w:r>
      <w:r w:rsidR="00E305DD" w:rsidRPr="009955DF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л.), Сибирского ФО (9 л.), Дальневосточного ФО за исключением территории Республики Саха (Якутия) (37 л.)</w:t>
      </w:r>
      <w:r w:rsidR="00DE07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собственно </w:t>
      </w:r>
      <w:r w:rsidR="00DE07C5" w:rsidRPr="009955DF">
        <w:rPr>
          <w:rFonts w:eastAsia="Times New Roman" w:cs="Times New Roman"/>
          <w:color w:val="000000"/>
          <w:sz w:val="28"/>
          <w:szCs w:val="28"/>
          <w:lang w:eastAsia="ru-RU"/>
        </w:rPr>
        <w:t>Республики Саха (Якутия) (6 л.)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D4E42" w:rsidRPr="009955DF" w:rsidRDefault="00E305DD" w:rsidP="009955DF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1.</w:t>
      </w:r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4. «Проведение работ по </w:t>
      </w:r>
      <w:r w:rsidR="00DE07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мелкомасштабному </w:t>
      </w:r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геологическому картографированию на континентальном шельфе Российской Федерации, в Мировом океане и на архипелаге Шпицберген». </w:t>
      </w:r>
    </w:p>
    <w:p w:rsidR="006D4E42" w:rsidRPr="009955DF" w:rsidRDefault="006D4E42" w:rsidP="009955DF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Выполнялись подготовительные работы по созданию комплекта современной геологической основы масштаба 1:1 000 000 листов U-49,50,51,52 (хребет Гаккеля) и морской части листов U-45,46,47,48 (о. Комсомолец).</w:t>
      </w:r>
    </w:p>
    <w:p w:rsidR="001374B4" w:rsidRPr="001374B4" w:rsidRDefault="001374B4" w:rsidP="009955DF">
      <w:pPr>
        <w:spacing w:after="0" w:line="288" w:lineRule="auto"/>
        <w:rPr>
          <w:rFonts w:eastAsia="Times New Roman" w:cs="Times New Roman"/>
          <w:b/>
          <w:caps/>
          <w:color w:val="2E74B5" w:themeColor="accent1" w:themeShade="BF"/>
          <w:sz w:val="28"/>
          <w:szCs w:val="28"/>
          <w:lang w:eastAsia="ru-RU"/>
        </w:rPr>
      </w:pPr>
      <w:r w:rsidRPr="001374B4">
        <w:rPr>
          <w:rFonts w:eastAsia="Times New Roman" w:cs="Times New Roman"/>
          <w:b/>
          <w:caps/>
          <w:color w:val="2E74B5" w:themeColor="accent1" w:themeShade="BF"/>
          <w:sz w:val="28"/>
          <w:szCs w:val="28"/>
          <w:lang w:eastAsia="ru-RU"/>
        </w:rPr>
        <w:t>ГЕОЛОГИЧЕСКОЕ ИЗУЧЕНИЕ НЕДР ДЛЯ ОБЕСПЕЧЕНИЯ ГЕОПОЛИТИЧЕСКИХ ИНТЕРЕСОВ РОССИЙСКОЙ ФЕДЕРАЦИИ В АРКТИКЕ, АНТАРКТИКЕ И МИРОВОМ ОКЕАНЕ</w:t>
      </w:r>
    </w:p>
    <w:p w:rsidR="001374B4" w:rsidRPr="009955DF" w:rsidRDefault="001374B4" w:rsidP="001374B4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E07C5">
        <w:rPr>
          <w:rFonts w:eastAsia="Times New Roman" w:cs="Times New Roman"/>
          <w:color w:val="000000"/>
          <w:sz w:val="28"/>
          <w:szCs w:val="28"/>
          <w:lang w:eastAsia="ru-RU"/>
        </w:rPr>
        <w:t>Выполнялись работы по сводному и обзорному геологическому картографированию недр Антарктиды и ее окраинных морей в составе 62 РАЭ и 63 РАЭ,  по составлению сводных карт геологического содержания масштаба 1:1000 000 − 1:2500 000.</w:t>
      </w:r>
    </w:p>
    <w:p w:rsidR="001374B4" w:rsidRDefault="001374B4" w:rsidP="001374B4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Проводились подготовительные работы по </w:t>
      </w:r>
      <w:proofErr w:type="gramStart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геологическому</w:t>
      </w:r>
      <w:proofErr w:type="gramEnd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доизучению</w:t>
      </w:r>
      <w:proofErr w:type="spellEnd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оценке минерально-сырьевого потенциала недр архипелага Шпицберген (северная часть Земли </w:t>
      </w:r>
      <w:proofErr w:type="spellStart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Веделя</w:t>
      </w:r>
      <w:proofErr w:type="spellEnd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Ярлсберга</w:t>
      </w:r>
      <w:proofErr w:type="spellEnd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).</w:t>
      </w:r>
    </w:p>
    <w:p w:rsidR="00DE07C5" w:rsidRPr="00DE07C5" w:rsidRDefault="006D4E42" w:rsidP="001B3E11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Продолжается работа по </w:t>
      </w:r>
      <w:r w:rsidR="00DE07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защите российской заявки по установлению 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внешних границ континентального шельфа Российской Федерации. </w:t>
      </w:r>
      <w:r w:rsidR="001B3E11" w:rsidRPr="00DE07C5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DE07C5" w:rsidRPr="00DE07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1B3E11" w:rsidRPr="00DE07C5">
        <w:rPr>
          <w:rFonts w:eastAsia="Times New Roman" w:cs="Times New Roman"/>
          <w:color w:val="000000"/>
          <w:sz w:val="28"/>
          <w:szCs w:val="28"/>
          <w:lang w:eastAsia="ru-RU"/>
        </w:rPr>
        <w:t>III квартал</w:t>
      </w:r>
      <w:r w:rsidR="00DE07C5" w:rsidRPr="00DE07C5"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="001B3E11" w:rsidRPr="00DE07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2017 года состоялось рассмотрение заявки на подкомиссии 44 сесси</w:t>
      </w:r>
      <w:r w:rsidR="00DE07C5" w:rsidRPr="00DE07C5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1B3E11" w:rsidRPr="00DE07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Комиссии по границам континентального шельфа. </w:t>
      </w:r>
    </w:p>
    <w:p w:rsidR="006D4E42" w:rsidRPr="009955DF" w:rsidRDefault="006D4E42" w:rsidP="009955DF">
      <w:pPr>
        <w:pStyle w:val="1"/>
        <w:rPr>
          <w:rFonts w:ascii="Times New Roman" w:hAnsi="Times New Roman" w:cs="Times New Roman"/>
        </w:rPr>
      </w:pPr>
      <w:bookmarkStart w:id="1" w:name="_Toc489276299"/>
      <w:r w:rsidRPr="009955DF">
        <w:rPr>
          <w:rFonts w:ascii="Times New Roman" w:hAnsi="Times New Roman" w:cs="Times New Roman"/>
        </w:rPr>
        <w:t>2. Организация работ по воспроизводству минерально-сырьевой базы России.</w:t>
      </w:r>
      <w:bookmarkEnd w:id="1"/>
    </w:p>
    <w:p w:rsidR="006D4E42" w:rsidRPr="009955DF" w:rsidRDefault="00E305DD" w:rsidP="009955DF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>.1. В целях воспроизводства минерально-сырьевой базы углеводородного сырья (УВС) по состоянию на 01.</w:t>
      </w:r>
      <w:r w:rsidR="00B17AF1">
        <w:rPr>
          <w:rFonts w:eastAsia="Times New Roman" w:cs="Times New Roman"/>
          <w:color w:val="000000"/>
          <w:sz w:val="28"/>
          <w:szCs w:val="28"/>
          <w:lang w:eastAsia="ru-RU"/>
        </w:rPr>
        <w:t>10</w:t>
      </w:r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.2017 за счет средств федерального бюджета на территории и акватории Российской Федерации ведутся </w:t>
      </w:r>
      <w:proofErr w:type="gramStart"/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>геолого-разведочные</w:t>
      </w:r>
      <w:proofErr w:type="gramEnd"/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работы на </w:t>
      </w:r>
      <w:r w:rsidR="00B17AF1">
        <w:rPr>
          <w:rFonts w:eastAsia="Times New Roman" w:cs="Times New Roman"/>
          <w:color w:val="000000"/>
          <w:sz w:val="28"/>
          <w:szCs w:val="28"/>
          <w:lang w:eastAsia="ru-RU"/>
        </w:rPr>
        <w:t>54</w:t>
      </w:r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объектах. </w:t>
      </w:r>
    </w:p>
    <w:p w:rsidR="006D4E42" w:rsidRPr="009955DF" w:rsidRDefault="006D4E42" w:rsidP="009955DF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Объем параметрического бурения составил </w:t>
      </w:r>
      <w:r w:rsidR="00B17AF1">
        <w:rPr>
          <w:rFonts w:eastAsia="Times New Roman" w:cs="Times New Roman"/>
          <w:color w:val="000000"/>
          <w:sz w:val="28"/>
          <w:szCs w:val="28"/>
          <w:lang w:eastAsia="ru-RU"/>
        </w:rPr>
        <w:t>4912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м, отработано </w:t>
      </w:r>
      <w:r w:rsidR="00B17AF1">
        <w:rPr>
          <w:rFonts w:eastAsia="Times New Roman" w:cs="Times New Roman"/>
          <w:color w:val="000000"/>
          <w:sz w:val="28"/>
          <w:szCs w:val="28"/>
          <w:lang w:eastAsia="ru-RU"/>
        </w:rPr>
        <w:t>8810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пог</w:t>
      </w:r>
      <w:proofErr w:type="spellEnd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км  </w:t>
      </w:r>
      <w:proofErr w:type="spellStart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сейсмопрофилей</w:t>
      </w:r>
      <w:proofErr w:type="spellEnd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2D. </w:t>
      </w:r>
    </w:p>
    <w:p w:rsidR="006D4E42" w:rsidRPr="009955DF" w:rsidRDefault="006D4E42" w:rsidP="009955DF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Прирост локализованных ресурсов нефти и </w:t>
      </w:r>
      <w:proofErr w:type="gramStart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газа</w:t>
      </w:r>
      <w:proofErr w:type="gramEnd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возможно будет оценить только по итогам проводимых работ за год.</w:t>
      </w:r>
    </w:p>
    <w:p w:rsidR="006D4E42" w:rsidRDefault="00344299" w:rsidP="009955DF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 xml:space="preserve">По результатам проведенных геологоразведочных работ на </w:t>
      </w:r>
      <w:r w:rsidR="002114E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государственный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баланс поставлены запасы:</w:t>
      </w:r>
    </w:p>
    <w:p w:rsidR="00344299" w:rsidRDefault="00344299" w:rsidP="009955DF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жидких углеводородов (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нефть+конденсат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>) по категории А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,В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>1,С1 в объеме 598,1 млн .т.;</w:t>
      </w:r>
    </w:p>
    <w:p w:rsidR="00344299" w:rsidRDefault="00344299" w:rsidP="009955DF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газа (свободный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газ+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газ</w:t>
      </w:r>
      <w:proofErr w:type="spellEnd"/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газовых шапок) по категории А,В1,С1 в объеме 1091,5 млрд. м</w:t>
      </w:r>
      <w:r>
        <w:rPr>
          <w:rFonts w:eastAsia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344299" w:rsidRPr="00AF7E28" w:rsidRDefault="00344299" w:rsidP="009955DF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Поставлены на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госудрственный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учет запасы УВС по 50 новым месторождениям (открытия 2017 г.) с извлекаемыми запасами по категориям С</w:t>
      </w:r>
      <w:proofErr w:type="gramStart"/>
      <w:r>
        <w:rPr>
          <w:rFonts w:eastAsia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>+С</w:t>
      </w:r>
      <w:r>
        <w:rPr>
          <w:rFonts w:eastAsia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2114E0">
        <w:rPr>
          <w:rFonts w:eastAsia="Times New Roman" w:cs="Times New Roman"/>
          <w:color w:val="000000"/>
          <w:sz w:val="28"/>
          <w:szCs w:val="28"/>
          <w:lang w:eastAsia="ru-RU"/>
        </w:rPr>
        <w:t>: нефти – 201</w:t>
      </w:r>
      <w:r w:rsidR="00AF7E28">
        <w:rPr>
          <w:rFonts w:eastAsia="Times New Roman" w:cs="Times New Roman"/>
          <w:color w:val="000000"/>
          <w:sz w:val="28"/>
          <w:szCs w:val="28"/>
          <w:lang w:eastAsia="ru-RU"/>
        </w:rPr>
        <w:t>,7 млн. т; свободного газа – 52,4 млрд. м</w:t>
      </w:r>
      <w:r w:rsidR="00AF7E28">
        <w:rPr>
          <w:rFonts w:eastAsia="Times New Roman" w:cs="Times New Roman"/>
          <w:color w:val="000000"/>
          <w:sz w:val="28"/>
          <w:szCs w:val="28"/>
          <w:vertAlign w:val="superscript"/>
          <w:lang w:eastAsia="ru-RU"/>
        </w:rPr>
        <w:t xml:space="preserve">3 </w:t>
      </w:r>
      <w:r w:rsidR="00AF7E2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 конденсата – 8,5 </w:t>
      </w:r>
      <w:proofErr w:type="spellStart"/>
      <w:r w:rsidR="00AF7E28">
        <w:rPr>
          <w:rFonts w:eastAsia="Times New Roman" w:cs="Times New Roman"/>
          <w:color w:val="000000"/>
          <w:sz w:val="28"/>
          <w:szCs w:val="28"/>
          <w:lang w:eastAsia="ru-RU"/>
        </w:rPr>
        <w:t>млн.т</w:t>
      </w:r>
      <w:proofErr w:type="spellEnd"/>
      <w:r w:rsidR="00AF7E28">
        <w:rPr>
          <w:rFonts w:eastAsia="Times New Roman" w:cs="Times New Roman"/>
          <w:color w:val="000000"/>
          <w:sz w:val="28"/>
          <w:szCs w:val="28"/>
          <w:lang w:eastAsia="ru-RU"/>
        </w:rPr>
        <w:t>. Наиболее крупные открытия по нефти - Центрально-</w:t>
      </w:r>
      <w:proofErr w:type="spellStart"/>
      <w:r w:rsidR="00AF7E28">
        <w:rPr>
          <w:rFonts w:eastAsia="Times New Roman" w:cs="Times New Roman"/>
          <w:color w:val="000000"/>
          <w:sz w:val="28"/>
          <w:szCs w:val="28"/>
          <w:lang w:eastAsia="ru-RU"/>
        </w:rPr>
        <w:t>Ольгинское</w:t>
      </w:r>
      <w:proofErr w:type="spellEnd"/>
      <w:r w:rsidR="00AF7E2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(ПАО НК «Роснефть»), расположенное в море Лаптевых (оценка месторождения по категориям С</w:t>
      </w:r>
      <w:r w:rsidR="00AF7E28">
        <w:rPr>
          <w:rFonts w:eastAsia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AF7E28">
        <w:rPr>
          <w:rFonts w:eastAsia="Times New Roman" w:cs="Times New Roman"/>
          <w:color w:val="000000"/>
          <w:sz w:val="28"/>
          <w:szCs w:val="28"/>
          <w:lang w:eastAsia="ru-RU"/>
        </w:rPr>
        <w:t>+С</w:t>
      </w:r>
      <w:r w:rsidR="00AF7E28">
        <w:rPr>
          <w:rFonts w:eastAsia="Times New Roman" w:cs="Times New Roman"/>
          <w:color w:val="000000"/>
          <w:sz w:val="28"/>
          <w:szCs w:val="28"/>
          <w:vertAlign w:val="subscript"/>
          <w:lang w:eastAsia="ru-RU"/>
        </w:rPr>
        <w:t xml:space="preserve">2 </w:t>
      </w:r>
      <w:r w:rsidR="002114E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AF7E28">
        <w:rPr>
          <w:rFonts w:eastAsia="Times New Roman" w:cs="Times New Roman"/>
          <w:color w:val="000000"/>
          <w:sz w:val="28"/>
          <w:szCs w:val="28"/>
          <w:lang w:eastAsia="ru-RU"/>
        </w:rPr>
        <w:t>80,4 млн. т) и два месторождения</w:t>
      </w:r>
      <w:proofErr w:type="gramStart"/>
      <w:r w:rsidR="00AF7E2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AF7E2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расположенные в Иркутской области – </w:t>
      </w:r>
      <w:proofErr w:type="spellStart"/>
      <w:r w:rsidR="00AF7E28">
        <w:rPr>
          <w:rFonts w:eastAsia="Times New Roman" w:cs="Times New Roman"/>
          <w:color w:val="000000"/>
          <w:sz w:val="28"/>
          <w:szCs w:val="28"/>
          <w:lang w:eastAsia="ru-RU"/>
        </w:rPr>
        <w:t>Гораздинское</w:t>
      </w:r>
      <w:proofErr w:type="spellEnd"/>
      <w:r w:rsidR="00AF7E2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AF7E28">
        <w:rPr>
          <w:rFonts w:eastAsia="Times New Roman" w:cs="Times New Roman"/>
          <w:color w:val="000000"/>
          <w:sz w:val="28"/>
          <w:szCs w:val="28"/>
          <w:lang w:eastAsia="ru-RU"/>
        </w:rPr>
        <w:t>Вятшинское</w:t>
      </w:r>
      <w:proofErr w:type="spellEnd"/>
      <w:r w:rsidR="00AF7E2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(ОАО «Иркутская нефтяная компания») с суммарной оценкой 45 млн. т.; по газу – Южно-</w:t>
      </w:r>
      <w:proofErr w:type="spellStart"/>
      <w:r w:rsidR="00AF7E28">
        <w:rPr>
          <w:rFonts w:eastAsia="Times New Roman" w:cs="Times New Roman"/>
          <w:color w:val="000000"/>
          <w:sz w:val="28"/>
          <w:szCs w:val="28"/>
          <w:lang w:eastAsia="ru-RU"/>
        </w:rPr>
        <w:t>Лунское</w:t>
      </w:r>
      <w:proofErr w:type="spellEnd"/>
      <w:r w:rsidR="00AF7E2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(ПАО «Газпром»), расположенное в Охотском море (оценка – 48,9 млрд</w:t>
      </w:r>
      <w:proofErr w:type="gramStart"/>
      <w:r w:rsidR="00AF7E28">
        <w:rPr>
          <w:rFonts w:eastAsia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="00AF7E28">
        <w:rPr>
          <w:rFonts w:eastAsia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="00AF7E28">
        <w:rPr>
          <w:rFonts w:eastAsia="Times New Roman" w:cs="Times New Roman"/>
          <w:color w:val="000000"/>
          <w:sz w:val="28"/>
          <w:szCs w:val="28"/>
          <w:lang w:eastAsia="ru-RU"/>
        </w:rPr>
        <w:t>).</w:t>
      </w:r>
      <w:r w:rsidR="00AF7E28">
        <w:rPr>
          <w:rFonts w:eastAsia="Times New Roman" w:cs="Times New Roman"/>
          <w:color w:val="000000"/>
          <w:sz w:val="28"/>
          <w:szCs w:val="28"/>
          <w:vertAlign w:val="superscript"/>
          <w:lang w:eastAsia="ru-RU"/>
        </w:rPr>
        <w:t>.</w:t>
      </w:r>
    </w:p>
    <w:p w:rsidR="00344299" w:rsidRDefault="00E305DD" w:rsidP="009955DF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>.2. В целях воспроизводства минерально-сырьевой базы твердых полезных ископаемых (ТПИ) по состоянию на 01.</w:t>
      </w:r>
      <w:r w:rsidR="002C2569">
        <w:rPr>
          <w:rFonts w:eastAsia="Times New Roman" w:cs="Times New Roman"/>
          <w:color w:val="000000"/>
          <w:sz w:val="28"/>
          <w:szCs w:val="28"/>
          <w:lang w:eastAsia="ru-RU"/>
        </w:rPr>
        <w:t>10</w:t>
      </w:r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.2017 за счет средств федерального бюджета ведутся геологоразведочные работы на 63 объектах. Около 70% объемов работ сосредоточены на территории </w:t>
      </w:r>
      <w:proofErr w:type="gramStart"/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>Сибирского</w:t>
      </w:r>
      <w:proofErr w:type="gramEnd"/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Дальневосточного федеральных округов. Дополнительно </w:t>
      </w:r>
      <w:r w:rsidR="002C2569">
        <w:rPr>
          <w:rFonts w:eastAsia="Times New Roman" w:cs="Times New Roman"/>
          <w:color w:val="000000"/>
          <w:sz w:val="28"/>
          <w:szCs w:val="28"/>
          <w:lang w:eastAsia="ru-RU"/>
        </w:rPr>
        <w:t>в период с января по октябрь 2017</w:t>
      </w:r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заключены контракты на выполнение работ </w:t>
      </w:r>
      <w:r w:rsidR="002C2569">
        <w:rPr>
          <w:rFonts w:eastAsia="Times New Roman" w:cs="Times New Roman"/>
          <w:color w:val="000000"/>
          <w:sz w:val="28"/>
          <w:szCs w:val="28"/>
          <w:lang w:eastAsia="ru-RU"/>
        </w:rPr>
        <w:t>по</w:t>
      </w:r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C2569">
        <w:rPr>
          <w:rFonts w:eastAsia="Times New Roman" w:cs="Times New Roman"/>
          <w:color w:val="000000"/>
          <w:sz w:val="28"/>
          <w:szCs w:val="28"/>
          <w:lang w:eastAsia="ru-RU"/>
        </w:rPr>
        <w:t>26</w:t>
      </w:r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новы</w:t>
      </w:r>
      <w:r w:rsidR="002C2569">
        <w:rPr>
          <w:rFonts w:eastAsia="Times New Roman" w:cs="Times New Roman"/>
          <w:color w:val="000000"/>
          <w:sz w:val="28"/>
          <w:szCs w:val="28"/>
          <w:lang w:eastAsia="ru-RU"/>
        </w:rPr>
        <w:t>м</w:t>
      </w:r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объекта</w:t>
      </w:r>
      <w:r w:rsidR="002C2569">
        <w:rPr>
          <w:rFonts w:eastAsia="Times New Roman" w:cs="Times New Roman"/>
          <w:color w:val="000000"/>
          <w:sz w:val="28"/>
          <w:szCs w:val="28"/>
          <w:lang w:eastAsia="ru-RU"/>
        </w:rPr>
        <w:t>м</w:t>
      </w:r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государственного заказа.</w:t>
      </w:r>
      <w:r w:rsidR="003442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>Приоритетными являются работы по воспроизводству стратегических видов минерального сырья, в первую очередь – высоколиквидные полезные ископаемые - золото, алмазы, серебро, металлы платиновой группы.</w:t>
      </w:r>
      <w:r w:rsidR="00344299" w:rsidRPr="003442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344299" w:rsidRPr="00932181">
        <w:rPr>
          <w:rFonts w:eastAsia="Times New Roman" w:cs="Times New Roman"/>
          <w:color w:val="000000"/>
          <w:sz w:val="28"/>
          <w:szCs w:val="28"/>
          <w:lang w:eastAsia="ru-RU"/>
        </w:rPr>
        <w:t>Показатели по воспроизводству минерально-сырьевой</w:t>
      </w:r>
      <w:r w:rsidR="00344299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базы твердых полезных ископаемых в части государственного геологического изучения недр </w:t>
      </w:r>
      <w:r w:rsidR="003442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будут окончательно определены </w:t>
      </w:r>
      <w:r w:rsidR="00344299" w:rsidRPr="009955DF">
        <w:rPr>
          <w:rFonts w:eastAsia="Times New Roman" w:cs="Times New Roman"/>
          <w:color w:val="000000"/>
          <w:sz w:val="28"/>
          <w:szCs w:val="28"/>
          <w:lang w:eastAsia="ru-RU"/>
        </w:rPr>
        <w:t>при завершении работ в конце года</w:t>
      </w:r>
      <w:r w:rsidR="0034429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6D4E42" w:rsidRPr="00932181" w:rsidRDefault="006D4E42" w:rsidP="009955DF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344299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 состоянию на </w:t>
      </w:r>
      <w:r w:rsidR="002C2569">
        <w:rPr>
          <w:rFonts w:eastAsia="Times New Roman" w:cs="Times New Roman"/>
          <w:color w:val="000000"/>
          <w:sz w:val="28"/>
          <w:szCs w:val="28"/>
          <w:lang w:eastAsia="ru-RU"/>
        </w:rPr>
        <w:t>01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2C2569">
        <w:rPr>
          <w:rFonts w:eastAsia="Times New Roman" w:cs="Times New Roman"/>
          <w:color w:val="000000"/>
          <w:sz w:val="28"/>
          <w:szCs w:val="28"/>
          <w:lang w:eastAsia="ru-RU"/>
        </w:rPr>
        <w:t>10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.2017 компенсация погашенных при добыче запасов основных видов твердых полезных ископаемых</w:t>
      </w:r>
      <w:r w:rsidR="003442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поставленных на государственный баланс по результатам геологоразведочных работ за счет средств </w:t>
      </w:r>
      <w:proofErr w:type="spellStart"/>
      <w:r w:rsidR="00344299">
        <w:rPr>
          <w:rFonts w:eastAsia="Times New Roman" w:cs="Times New Roman"/>
          <w:color w:val="000000"/>
          <w:sz w:val="28"/>
          <w:szCs w:val="28"/>
          <w:lang w:eastAsia="ru-RU"/>
        </w:rPr>
        <w:t>недропользователей</w:t>
      </w:r>
      <w:proofErr w:type="spellEnd"/>
      <w:r w:rsidR="00344299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составила:</w:t>
      </w:r>
      <w:r w:rsidR="002C25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уголь – </w:t>
      </w:r>
      <w:r w:rsidR="007702BB">
        <w:rPr>
          <w:rFonts w:eastAsia="Times New Roman" w:cs="Times New Roman"/>
          <w:color w:val="000000"/>
          <w:sz w:val="28"/>
          <w:szCs w:val="28"/>
          <w:lang w:eastAsia="ru-RU"/>
        </w:rPr>
        <w:t>77</w:t>
      </w:r>
      <w:r w:rsidR="002C2569">
        <w:rPr>
          <w:rFonts w:eastAsia="Times New Roman" w:cs="Times New Roman"/>
          <w:color w:val="000000"/>
          <w:sz w:val="28"/>
          <w:szCs w:val="28"/>
          <w:lang w:eastAsia="ru-RU"/>
        </w:rPr>
        <w:t>%,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медь – </w:t>
      </w:r>
      <w:r w:rsidR="002C2569">
        <w:rPr>
          <w:rFonts w:eastAsia="Times New Roman" w:cs="Times New Roman"/>
          <w:color w:val="000000"/>
          <w:sz w:val="28"/>
          <w:szCs w:val="28"/>
          <w:lang w:eastAsia="ru-RU"/>
        </w:rPr>
        <w:t>78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%, алмазы </w:t>
      </w:r>
      <w:r w:rsidRPr="00932181">
        <w:rPr>
          <w:rFonts w:eastAsia="Times New Roman" w:cs="Times New Roman"/>
          <w:color w:val="000000"/>
          <w:sz w:val="28"/>
          <w:szCs w:val="28"/>
          <w:lang w:eastAsia="ru-RU"/>
        </w:rPr>
        <w:t>– 13</w:t>
      </w:r>
      <w:r w:rsidR="002C2569" w:rsidRPr="00932181">
        <w:rPr>
          <w:rFonts w:eastAsia="Times New Roman" w:cs="Times New Roman"/>
          <w:color w:val="000000"/>
          <w:sz w:val="28"/>
          <w:szCs w:val="28"/>
          <w:lang w:eastAsia="ru-RU"/>
        </w:rPr>
        <w:t>8</w:t>
      </w:r>
      <w:r w:rsidRPr="0093218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%, золото – </w:t>
      </w:r>
      <w:r w:rsidR="00E428F7" w:rsidRPr="00932181">
        <w:rPr>
          <w:rFonts w:eastAsia="Times New Roman" w:cs="Times New Roman"/>
          <w:color w:val="000000"/>
          <w:sz w:val="28"/>
          <w:szCs w:val="28"/>
          <w:lang w:eastAsia="ru-RU"/>
        </w:rPr>
        <w:t>71</w:t>
      </w:r>
      <w:r w:rsidRPr="00932181">
        <w:rPr>
          <w:rFonts w:eastAsia="Times New Roman" w:cs="Times New Roman"/>
          <w:color w:val="000000"/>
          <w:sz w:val="28"/>
          <w:szCs w:val="28"/>
          <w:lang w:eastAsia="ru-RU"/>
        </w:rPr>
        <w:t>%,</w:t>
      </w:r>
      <w:r w:rsidRPr="00932181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="002C2569" w:rsidRPr="00932181">
        <w:rPr>
          <w:rFonts w:eastAsia="Times New Roman" w:cs="Times New Roman"/>
          <w:color w:val="000000"/>
          <w:sz w:val="28"/>
          <w:szCs w:val="28"/>
          <w:lang w:eastAsia="ru-RU"/>
        </w:rPr>
        <w:t>уран</w:t>
      </w:r>
      <w:r w:rsidRPr="0093218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</w:t>
      </w:r>
      <w:r w:rsidR="002C2569" w:rsidRPr="00932181">
        <w:rPr>
          <w:rFonts w:eastAsia="Times New Roman" w:cs="Times New Roman"/>
          <w:color w:val="000000"/>
          <w:sz w:val="28"/>
          <w:szCs w:val="28"/>
          <w:lang w:eastAsia="ru-RU"/>
        </w:rPr>
        <w:t>188</w:t>
      </w:r>
      <w:r w:rsidRPr="00932181">
        <w:rPr>
          <w:rFonts w:eastAsia="Times New Roman" w:cs="Times New Roman"/>
          <w:color w:val="000000"/>
          <w:sz w:val="28"/>
          <w:szCs w:val="28"/>
          <w:lang w:eastAsia="ru-RU"/>
        </w:rPr>
        <w:t>%.</w:t>
      </w:r>
    </w:p>
    <w:p w:rsidR="006D4E42" w:rsidRPr="009955DF" w:rsidRDefault="006D4E42" w:rsidP="009955DF">
      <w:pPr>
        <w:pStyle w:val="1"/>
        <w:rPr>
          <w:rFonts w:ascii="Times New Roman" w:hAnsi="Times New Roman" w:cs="Times New Roman"/>
        </w:rPr>
      </w:pPr>
      <w:bookmarkStart w:id="2" w:name="_Toc489276300"/>
      <w:r w:rsidRPr="009955DF">
        <w:rPr>
          <w:rFonts w:ascii="Times New Roman" w:hAnsi="Times New Roman" w:cs="Times New Roman"/>
        </w:rPr>
        <w:t>3. Организационное обеспечение государственной системы лицензирования пользования недрами</w:t>
      </w:r>
      <w:bookmarkEnd w:id="2"/>
    </w:p>
    <w:p w:rsidR="006D4E42" w:rsidRPr="009955DF" w:rsidRDefault="006D4E42" w:rsidP="009955DF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3.1. В части углеводородного сырья за </w:t>
      </w:r>
      <w:r w:rsidR="00B17AF1">
        <w:rPr>
          <w:rFonts w:eastAsia="Times New Roman" w:cs="Times New Roman"/>
          <w:color w:val="000000"/>
          <w:sz w:val="28"/>
          <w:szCs w:val="28"/>
          <w:lang w:eastAsia="ru-RU"/>
        </w:rPr>
        <w:t>9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месяцев 2017 года по результатам аукционов на право пользования недрами с целью геологического изучения, разведки и добычи углеводородного сырья предоставлено в пользование </w:t>
      </w:r>
      <w:r w:rsidR="00B17AF1">
        <w:rPr>
          <w:rFonts w:eastAsia="Times New Roman" w:cs="Times New Roman"/>
          <w:color w:val="000000"/>
          <w:sz w:val="28"/>
          <w:szCs w:val="28"/>
          <w:lang w:eastAsia="ru-RU"/>
        </w:rPr>
        <w:t>40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участков недр, из них</w:t>
      </w:r>
      <w:r w:rsidR="00C52D4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наиболее крупные</w:t>
      </w:r>
      <w:r w:rsidR="00381DF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81DF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381DF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 размеру </w:t>
      </w:r>
      <w:r w:rsidR="00BD4885">
        <w:rPr>
          <w:rFonts w:eastAsia="Times New Roman" w:cs="Times New Roman"/>
          <w:color w:val="000000"/>
          <w:sz w:val="28"/>
          <w:szCs w:val="28"/>
          <w:lang w:eastAsia="ru-RU"/>
        </w:rPr>
        <w:t>разового</w:t>
      </w:r>
      <w:r w:rsidR="00381DF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платежа)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6D4E42" w:rsidRPr="009955DF" w:rsidRDefault="00C52D43" w:rsidP="009955DF">
      <w:pPr>
        <w:pStyle w:val="a3"/>
        <w:numPr>
          <w:ilvl w:val="0"/>
          <w:numId w:val="10"/>
        </w:numPr>
        <w:spacing w:before="240" w:after="0" w:line="288" w:lineRule="auto"/>
        <w:ind w:left="357" w:hanging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Пермский </w:t>
      </w:r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край (участок недр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Саварский</w:t>
      </w:r>
      <w:proofErr w:type="spellEnd"/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>);</w:t>
      </w:r>
      <w:bookmarkStart w:id="3" w:name="_GoBack"/>
      <w:bookmarkEnd w:id="3"/>
    </w:p>
    <w:p w:rsidR="006D4E42" w:rsidRPr="00530440" w:rsidRDefault="00C52D43" w:rsidP="00530440">
      <w:pPr>
        <w:pStyle w:val="a3"/>
        <w:numPr>
          <w:ilvl w:val="0"/>
          <w:numId w:val="10"/>
        </w:numPr>
        <w:spacing w:before="240" w:after="0" w:line="288" w:lineRule="auto"/>
        <w:ind w:left="357" w:hanging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Республика Коми</w:t>
      </w:r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(участок недр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Печерогородски</w:t>
      </w:r>
      <w:r w:rsidRPr="00530440">
        <w:rPr>
          <w:rFonts w:eastAsia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="006D4E42" w:rsidRPr="00530440">
        <w:rPr>
          <w:rFonts w:eastAsia="Times New Roman" w:cs="Times New Roman"/>
          <w:color w:val="000000"/>
          <w:sz w:val="28"/>
          <w:szCs w:val="28"/>
          <w:lang w:eastAsia="ru-RU"/>
        </w:rPr>
        <w:t>);</w:t>
      </w:r>
    </w:p>
    <w:p w:rsidR="006D4E42" w:rsidRPr="009955DF" w:rsidRDefault="006D4E42" w:rsidP="009955DF">
      <w:pPr>
        <w:pStyle w:val="a3"/>
        <w:numPr>
          <w:ilvl w:val="0"/>
          <w:numId w:val="10"/>
        </w:numPr>
        <w:spacing w:before="240" w:after="0" w:line="288" w:lineRule="auto"/>
        <w:ind w:left="357" w:hanging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Республика </w:t>
      </w:r>
      <w:r w:rsidR="00530440">
        <w:rPr>
          <w:rFonts w:eastAsia="Times New Roman" w:cs="Times New Roman"/>
          <w:color w:val="000000"/>
          <w:sz w:val="28"/>
          <w:szCs w:val="28"/>
          <w:lang w:eastAsia="ru-RU"/>
        </w:rPr>
        <w:t>Саха (Якутия)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(участки недр</w:t>
      </w:r>
      <w:r w:rsidR="00C61DD8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2D43">
        <w:rPr>
          <w:rFonts w:eastAsia="Times New Roman" w:cs="Times New Roman"/>
          <w:color w:val="000000"/>
          <w:sz w:val="28"/>
          <w:szCs w:val="28"/>
          <w:lang w:eastAsia="ru-RU"/>
        </w:rPr>
        <w:t>Нижнечонский</w:t>
      </w:r>
      <w:proofErr w:type="spellEnd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52D43">
        <w:rPr>
          <w:rFonts w:eastAsia="Times New Roman" w:cs="Times New Roman"/>
          <w:color w:val="000000"/>
          <w:sz w:val="28"/>
          <w:szCs w:val="28"/>
          <w:lang w:eastAsia="ru-RU"/>
        </w:rPr>
        <w:t>Нюрбинский</w:t>
      </w:r>
      <w:proofErr w:type="spellEnd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6D4E42" w:rsidRDefault="006D4E42" w:rsidP="009955DF">
      <w:pPr>
        <w:pStyle w:val="a3"/>
        <w:numPr>
          <w:ilvl w:val="0"/>
          <w:numId w:val="10"/>
        </w:numPr>
        <w:spacing w:before="240" w:after="0" w:line="288" w:lineRule="auto"/>
        <w:ind w:left="357" w:hanging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C52D43">
        <w:rPr>
          <w:rFonts w:eastAsia="Times New Roman" w:cs="Times New Roman"/>
          <w:color w:val="000000"/>
          <w:sz w:val="28"/>
          <w:szCs w:val="28"/>
          <w:lang w:eastAsia="ru-RU"/>
        </w:rPr>
        <w:t>амарская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область (участ</w:t>
      </w:r>
      <w:r w:rsidR="00C52D43">
        <w:rPr>
          <w:rFonts w:eastAsia="Times New Roman" w:cs="Times New Roman"/>
          <w:color w:val="000000"/>
          <w:sz w:val="28"/>
          <w:szCs w:val="28"/>
          <w:lang w:eastAsia="ru-RU"/>
        </w:rPr>
        <w:t>ок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недр </w:t>
      </w:r>
      <w:r w:rsidR="00C52D43">
        <w:rPr>
          <w:rFonts w:eastAsia="Times New Roman" w:cs="Times New Roman"/>
          <w:color w:val="000000"/>
          <w:sz w:val="28"/>
          <w:szCs w:val="28"/>
          <w:lang w:eastAsia="ru-RU"/>
        </w:rPr>
        <w:t>Дальний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);</w:t>
      </w:r>
    </w:p>
    <w:p w:rsidR="00C52D43" w:rsidRPr="009955DF" w:rsidRDefault="00C52D43" w:rsidP="009955DF">
      <w:pPr>
        <w:pStyle w:val="a3"/>
        <w:numPr>
          <w:ilvl w:val="0"/>
          <w:numId w:val="10"/>
        </w:numPr>
        <w:spacing w:before="240" w:after="0" w:line="288" w:lineRule="auto"/>
        <w:ind w:left="357" w:hanging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Саратовская область (участок недр Мирный</w:t>
      </w:r>
      <w:r>
        <w:rPr>
          <w:rFonts w:eastAsia="Times New Roman" w:cs="Times New Roman"/>
          <w:color w:val="000000"/>
          <w:sz w:val="28"/>
          <w:szCs w:val="28"/>
          <w:vertAlign w:val="superscript"/>
          <w:lang w:eastAsia="ru-RU"/>
        </w:rPr>
        <w:t>**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);</w:t>
      </w:r>
    </w:p>
    <w:p w:rsidR="006D4E42" w:rsidRPr="009955DF" w:rsidRDefault="00C52D43" w:rsidP="009955DF">
      <w:pPr>
        <w:pStyle w:val="a3"/>
        <w:numPr>
          <w:ilvl w:val="0"/>
          <w:numId w:val="10"/>
        </w:numPr>
        <w:spacing w:before="240" w:after="0" w:line="288" w:lineRule="auto"/>
        <w:ind w:left="357" w:hanging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Ханты-Мансийский автономный округ - Югра</w:t>
      </w:r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(участки недр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Западно-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Ливадийский</w:t>
      </w:r>
      <w:proofErr w:type="spellEnd"/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Эргинский</w:t>
      </w:r>
      <w:proofErr w:type="spellEnd"/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>);</w:t>
      </w:r>
    </w:p>
    <w:p w:rsidR="006D4E42" w:rsidRDefault="00C52D43" w:rsidP="009955DF">
      <w:pPr>
        <w:pStyle w:val="a3"/>
        <w:numPr>
          <w:ilvl w:val="0"/>
          <w:numId w:val="10"/>
        </w:numPr>
        <w:spacing w:before="240" w:after="0" w:line="288" w:lineRule="auto"/>
        <w:ind w:left="357" w:hanging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Ямало-Ненецкий автономный округ </w:t>
      </w:r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участки недр, включающие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Верхнетиутейское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>, Западно-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Сеяхинское</w:t>
      </w:r>
      <w:proofErr w:type="spellEnd"/>
      <w:r w:rsidR="00B5561E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Гыданское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Штормовое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месторождения</w:t>
      </w:r>
      <w:r w:rsidR="00367D82">
        <w:rPr>
          <w:rFonts w:eastAsia="Times New Roman" w:cs="Times New Roman"/>
          <w:color w:val="000000"/>
          <w:sz w:val="28"/>
          <w:szCs w:val="28"/>
          <w:lang w:eastAsia="ru-RU"/>
        </w:rPr>
        <w:t>).</w:t>
      </w:r>
    </w:p>
    <w:p w:rsidR="00367D82" w:rsidRDefault="006D4E42" w:rsidP="00367D82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3.2. В части твердых полезных ископаемых </w:t>
      </w:r>
      <w:r w:rsidR="00367D8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 </w:t>
      </w:r>
      <w:r w:rsidR="00367D82">
        <w:rPr>
          <w:rFonts w:eastAsia="Times New Roman" w:cs="Times New Roman"/>
          <w:color w:val="000000"/>
          <w:sz w:val="28"/>
          <w:szCs w:val="28"/>
          <w:lang w:eastAsia="ru-RU"/>
        </w:rPr>
        <w:t>9</w:t>
      </w:r>
      <w:r w:rsidR="00367D8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месяцев 2017 года по результатам аукционов на право пользования недрами с целью геологического изучения, разведки и добычи </w:t>
      </w:r>
      <w:r w:rsidR="00367D82">
        <w:rPr>
          <w:rFonts w:eastAsia="Times New Roman" w:cs="Times New Roman"/>
          <w:color w:val="000000"/>
          <w:sz w:val="28"/>
          <w:szCs w:val="28"/>
          <w:lang w:eastAsia="ru-RU"/>
        </w:rPr>
        <w:t>твердых полезных ископаемых</w:t>
      </w:r>
      <w:r w:rsidR="00367D8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предоставлено в пользование </w:t>
      </w:r>
      <w:r w:rsidR="007702BB">
        <w:rPr>
          <w:rFonts w:eastAsia="Times New Roman" w:cs="Times New Roman"/>
          <w:color w:val="000000"/>
          <w:sz w:val="28"/>
          <w:szCs w:val="28"/>
          <w:lang w:eastAsia="ru-RU"/>
        </w:rPr>
        <w:t>119</w:t>
      </w:r>
      <w:r w:rsidR="00367D8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участ</w:t>
      </w:r>
      <w:r w:rsidR="007702BB">
        <w:rPr>
          <w:rFonts w:eastAsia="Times New Roman" w:cs="Times New Roman"/>
          <w:color w:val="000000"/>
          <w:sz w:val="28"/>
          <w:szCs w:val="28"/>
          <w:lang w:eastAsia="ru-RU"/>
        </w:rPr>
        <w:t>ков</w:t>
      </w:r>
      <w:r w:rsidR="00367D8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недр, из них</w:t>
      </w:r>
      <w:r w:rsidR="00367D8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наиболее крупные</w:t>
      </w:r>
      <w:r w:rsidR="00381DF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(по </w:t>
      </w:r>
      <w:r w:rsidR="00AA4E1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размеру </w:t>
      </w:r>
      <w:r w:rsidR="00BD4885">
        <w:rPr>
          <w:rFonts w:eastAsia="Times New Roman" w:cs="Times New Roman"/>
          <w:color w:val="000000"/>
          <w:sz w:val="28"/>
          <w:szCs w:val="28"/>
          <w:lang w:eastAsia="ru-RU"/>
        </w:rPr>
        <w:t>разового</w:t>
      </w:r>
      <w:r w:rsidR="00AA4E1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платежа</w:t>
      </w:r>
      <w:r w:rsidR="00530440">
        <w:rPr>
          <w:rFonts w:eastAsia="Times New Roman" w:cs="Times New Roman"/>
          <w:color w:val="000000"/>
          <w:sz w:val="28"/>
          <w:szCs w:val="28"/>
          <w:lang w:eastAsia="ru-RU"/>
        </w:rPr>
        <w:t>):</w:t>
      </w:r>
    </w:p>
    <w:p w:rsidR="00367D82" w:rsidRDefault="00367D82" w:rsidP="00367D82">
      <w:pPr>
        <w:pStyle w:val="a3"/>
        <w:numPr>
          <w:ilvl w:val="0"/>
          <w:numId w:val="10"/>
        </w:numPr>
        <w:spacing w:before="240" w:after="0" w:line="288" w:lineRule="auto"/>
        <w:ind w:left="357" w:hanging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Иркутская область (Сухой Лог);</w:t>
      </w:r>
    </w:p>
    <w:p w:rsidR="00AF7E28" w:rsidRPr="00AF7E28" w:rsidRDefault="00AF7E28" w:rsidP="00AF7E28">
      <w:pPr>
        <w:pStyle w:val="a3"/>
        <w:numPr>
          <w:ilvl w:val="0"/>
          <w:numId w:val="10"/>
        </w:numPr>
        <w:spacing w:before="240" w:after="0" w:line="288" w:lineRule="auto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Кемеровская область (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Новоказанский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Новоказанского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каменноугольного месторождения);</w:t>
      </w:r>
    </w:p>
    <w:p w:rsidR="00932181" w:rsidRDefault="00932181" w:rsidP="009955DF">
      <w:pPr>
        <w:pStyle w:val="a3"/>
        <w:numPr>
          <w:ilvl w:val="0"/>
          <w:numId w:val="10"/>
        </w:numPr>
        <w:spacing w:before="240" w:after="0" w:line="288" w:lineRule="auto"/>
        <w:ind w:left="357" w:hanging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Республика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Башкортастан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(золоторудное комплексное месторождение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Муртыкты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r w:rsidR="00530440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932181" w:rsidRDefault="00932181" w:rsidP="009955DF">
      <w:pPr>
        <w:pStyle w:val="a3"/>
        <w:numPr>
          <w:ilvl w:val="0"/>
          <w:numId w:val="10"/>
        </w:numPr>
        <w:spacing w:before="240" w:after="0" w:line="288" w:lineRule="auto"/>
        <w:ind w:left="357" w:hanging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Курганская область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>Добровольное месторождение урана)</w:t>
      </w:r>
      <w:r w:rsidR="00530440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AF7E28" w:rsidRPr="00AF7E28" w:rsidRDefault="00AF7E28" w:rsidP="00AF7E28">
      <w:pPr>
        <w:pStyle w:val="a3"/>
        <w:numPr>
          <w:ilvl w:val="0"/>
          <w:numId w:val="10"/>
        </w:numPr>
        <w:spacing w:before="240" w:after="0" w:line="288" w:lineRule="auto"/>
        <w:ind w:left="357" w:hanging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Республика Саха (Якутия) (ручей Кумах-Юрах).</w:t>
      </w:r>
    </w:p>
    <w:p w:rsidR="00AA4E15" w:rsidRDefault="00381DFC" w:rsidP="00381DFC">
      <w:pPr>
        <w:pStyle w:val="a3"/>
        <w:spacing w:before="240" w:after="0" w:line="288" w:lineRule="auto"/>
        <w:ind w:left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 «заявительному принципу» предоставления права пользования недрами с целью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георлогического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изучения недр поступило 929 заявок</w:t>
      </w:r>
      <w:r w:rsidR="00AA4E1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="00AA4E15">
        <w:rPr>
          <w:rFonts w:eastAsia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="00AA4E15">
        <w:rPr>
          <w:rFonts w:eastAsia="Times New Roman" w:cs="Times New Roman"/>
          <w:color w:val="000000"/>
          <w:sz w:val="28"/>
          <w:szCs w:val="28"/>
          <w:lang w:eastAsia="ru-RU"/>
        </w:rPr>
        <w:t>.:</w:t>
      </w:r>
    </w:p>
    <w:p w:rsidR="00381DFC" w:rsidRDefault="00AA4E15" w:rsidP="00381DFC">
      <w:pPr>
        <w:pStyle w:val="a3"/>
        <w:spacing w:before="240" w:after="0" w:line="288" w:lineRule="auto"/>
        <w:ind w:left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- 468 заявок находятся на рассмотрении;</w:t>
      </w:r>
    </w:p>
    <w:p w:rsidR="00AA4E15" w:rsidRDefault="00AA4E15" w:rsidP="00381DFC">
      <w:pPr>
        <w:pStyle w:val="a3"/>
        <w:spacing w:before="240" w:after="0" w:line="288" w:lineRule="auto"/>
        <w:ind w:left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по 340 заявкам принято решение об отказе;</w:t>
      </w:r>
    </w:p>
    <w:p w:rsidR="00AA4E15" w:rsidRPr="00C72951" w:rsidRDefault="00AA4E15" w:rsidP="00381DFC">
      <w:pPr>
        <w:pStyle w:val="a3"/>
        <w:spacing w:before="240" w:after="0" w:line="288" w:lineRule="auto"/>
        <w:ind w:left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- 121 заявка удовлетворена.</w:t>
      </w:r>
    </w:p>
    <w:p w:rsidR="006D4E42" w:rsidRPr="009955DF" w:rsidRDefault="006D4E42" w:rsidP="009955DF">
      <w:pPr>
        <w:pStyle w:val="1"/>
        <w:rPr>
          <w:rFonts w:ascii="Times New Roman" w:hAnsi="Times New Roman" w:cs="Times New Roman"/>
        </w:rPr>
      </w:pPr>
      <w:bookmarkStart w:id="4" w:name="_Toc489276301"/>
      <w:r w:rsidRPr="009955DF">
        <w:rPr>
          <w:rFonts w:ascii="Times New Roman" w:hAnsi="Times New Roman" w:cs="Times New Roman"/>
        </w:rPr>
        <w:lastRenderedPageBreak/>
        <w:t>4. Организация и проведение государственной экспертизы информации о разведанных запасах полезных ископаемых</w:t>
      </w:r>
      <w:bookmarkEnd w:id="4"/>
    </w:p>
    <w:p w:rsidR="006D4E42" w:rsidRPr="009955DF" w:rsidRDefault="006D4E42" w:rsidP="009955DF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Федеральным бюджетным учреждением  «Государственная комиссия по запасам полезных ископаемых» (ФБУ «ГКЗ») проведена государственная экспертиза информации о разведанных запасах</w:t>
      </w:r>
      <w:proofErr w:type="gramStart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2054" w:rsidRDefault="006D4E42" w:rsidP="009955DF">
      <w:pPr>
        <w:pStyle w:val="a3"/>
        <w:numPr>
          <w:ilvl w:val="0"/>
          <w:numId w:val="10"/>
        </w:numPr>
        <w:spacing w:before="240" w:after="0" w:line="288" w:lineRule="auto"/>
        <w:ind w:left="357" w:hanging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8205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твердых полезных ископаемых по </w:t>
      </w:r>
      <w:r w:rsidR="00E82054" w:rsidRPr="00E82054">
        <w:rPr>
          <w:rFonts w:eastAsia="Times New Roman" w:cs="Times New Roman"/>
          <w:color w:val="000000"/>
          <w:sz w:val="28"/>
          <w:szCs w:val="28"/>
          <w:lang w:eastAsia="ru-RU"/>
        </w:rPr>
        <w:t>391</w:t>
      </w:r>
      <w:r w:rsidRPr="00E8205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объект</w:t>
      </w:r>
      <w:r w:rsidR="00E82054" w:rsidRPr="00E82054">
        <w:rPr>
          <w:rFonts w:eastAsia="Times New Roman" w:cs="Times New Roman"/>
          <w:color w:val="000000"/>
          <w:sz w:val="28"/>
          <w:szCs w:val="28"/>
          <w:lang w:eastAsia="ru-RU"/>
        </w:rPr>
        <w:t>у</w:t>
      </w:r>
      <w:r w:rsidR="00E82054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  <w:r w:rsidRPr="00E8205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7D82" w:rsidRPr="00C72951" w:rsidRDefault="006D4E42" w:rsidP="001102D8">
      <w:pPr>
        <w:pStyle w:val="a3"/>
        <w:numPr>
          <w:ilvl w:val="0"/>
          <w:numId w:val="10"/>
        </w:numPr>
        <w:spacing w:before="240" w:after="0" w:line="288" w:lineRule="auto"/>
        <w:ind w:left="357" w:hanging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8205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углеводородного сырья по </w:t>
      </w:r>
      <w:r w:rsidR="00B17AF1" w:rsidRPr="00E82054">
        <w:rPr>
          <w:rFonts w:eastAsia="Times New Roman" w:cs="Times New Roman"/>
          <w:color w:val="000000"/>
          <w:sz w:val="28"/>
          <w:szCs w:val="28"/>
          <w:lang w:eastAsia="ru-RU"/>
        </w:rPr>
        <w:t>474</w:t>
      </w:r>
      <w:r w:rsidRPr="00E8205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объект</w:t>
      </w:r>
      <w:r w:rsidR="00B17AF1" w:rsidRPr="00E82054">
        <w:rPr>
          <w:rFonts w:eastAsia="Times New Roman" w:cs="Times New Roman"/>
          <w:color w:val="000000"/>
          <w:sz w:val="28"/>
          <w:szCs w:val="28"/>
          <w:lang w:eastAsia="ru-RU"/>
        </w:rPr>
        <w:t>ам</w:t>
      </w:r>
      <w:r w:rsidRPr="00E82054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6D4E42" w:rsidRPr="009955DF" w:rsidRDefault="006D4E42" w:rsidP="009955DF">
      <w:pPr>
        <w:pStyle w:val="1"/>
        <w:rPr>
          <w:rFonts w:ascii="Times New Roman" w:hAnsi="Times New Roman" w:cs="Times New Roman"/>
        </w:rPr>
      </w:pPr>
      <w:bookmarkStart w:id="5" w:name="_Toc489276302"/>
      <w:r w:rsidRPr="009955DF">
        <w:rPr>
          <w:rFonts w:ascii="Times New Roman" w:hAnsi="Times New Roman" w:cs="Times New Roman"/>
        </w:rPr>
        <w:t>5. Рассмотрение и согласование проектной документации на разработку месторождений</w:t>
      </w:r>
      <w:bookmarkEnd w:id="5"/>
    </w:p>
    <w:p w:rsidR="002114E0" w:rsidRDefault="006D4E42" w:rsidP="009955DF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По состоянию на 01.</w:t>
      </w:r>
      <w:r w:rsidR="00AF7E28">
        <w:rPr>
          <w:rFonts w:eastAsia="Times New Roman" w:cs="Times New Roman"/>
          <w:color w:val="000000"/>
          <w:sz w:val="28"/>
          <w:szCs w:val="28"/>
          <w:lang w:eastAsia="ru-RU"/>
        </w:rPr>
        <w:t>10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.2017 Центральной комиссией </w:t>
      </w:r>
      <w:proofErr w:type="spellStart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Роснедр</w:t>
      </w:r>
      <w:proofErr w:type="spellEnd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согласованию технических проектов на разработку месторождений углеводородного сырья в установленном порядке рассмотрены и согласованы </w:t>
      </w:r>
      <w:r w:rsidR="00103FC7">
        <w:rPr>
          <w:rFonts w:eastAsia="Times New Roman" w:cs="Times New Roman"/>
          <w:color w:val="000000"/>
          <w:sz w:val="28"/>
          <w:szCs w:val="28"/>
          <w:lang w:eastAsia="ru-RU"/>
        </w:rPr>
        <w:t>251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технический проект на разработку месторождений углеводородного сырья</w:t>
      </w:r>
      <w:r w:rsidR="002114E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114E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2114E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основном на рассмотрение и согласование были </w:t>
      </w:r>
      <w:proofErr w:type="spellStart"/>
      <w:r w:rsidR="002114E0">
        <w:rPr>
          <w:rFonts w:eastAsia="Times New Roman" w:cs="Times New Roman"/>
          <w:color w:val="000000"/>
          <w:sz w:val="28"/>
          <w:szCs w:val="28"/>
          <w:lang w:eastAsia="ru-RU"/>
        </w:rPr>
        <w:t>предствлены</w:t>
      </w:r>
      <w:proofErr w:type="spellEnd"/>
      <w:r w:rsidR="002114E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дополнения к уже действующим техническим проектам, предусматривающие внедрение инновационных технологий, направленных на повышение коэффициента извлечения).</w:t>
      </w:r>
    </w:p>
    <w:p w:rsidR="006D4E42" w:rsidRPr="009955DF" w:rsidRDefault="002114E0" w:rsidP="009955DF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Центральной комиссией </w:t>
      </w:r>
      <w:proofErr w:type="spellStart"/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>Роснедр</w:t>
      </w:r>
      <w:proofErr w:type="spellEnd"/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согласованию технических проектов на разработку месторождений твердых полезных ископаемых – </w:t>
      </w:r>
      <w:r w:rsidR="007702BB">
        <w:rPr>
          <w:rFonts w:eastAsia="Times New Roman" w:cs="Times New Roman"/>
          <w:color w:val="000000"/>
          <w:sz w:val="28"/>
          <w:szCs w:val="28"/>
          <w:lang w:eastAsia="ru-RU"/>
        </w:rPr>
        <w:t>218</w:t>
      </w:r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7702B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проектных документаций на разработку месторождений твердых полезных ископаемых, в том числе </w:t>
      </w:r>
      <w:proofErr w:type="gramStart"/>
      <w:r w:rsidR="007702BB">
        <w:rPr>
          <w:rFonts w:eastAsia="Times New Roman" w:cs="Times New Roman"/>
          <w:color w:val="000000"/>
          <w:sz w:val="28"/>
          <w:szCs w:val="28"/>
          <w:lang w:eastAsia="ru-RU"/>
        </w:rPr>
        <w:t>значимые</w:t>
      </w:r>
      <w:proofErr w:type="gramEnd"/>
      <w:r w:rsidR="007702B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: «Разработка </w:t>
      </w:r>
      <w:proofErr w:type="spellStart"/>
      <w:r w:rsidR="007702BB">
        <w:rPr>
          <w:rFonts w:eastAsia="Times New Roman" w:cs="Times New Roman"/>
          <w:color w:val="000000"/>
          <w:sz w:val="28"/>
          <w:szCs w:val="28"/>
          <w:lang w:eastAsia="ru-RU"/>
        </w:rPr>
        <w:t>Далматовского</w:t>
      </w:r>
      <w:proofErr w:type="spellEnd"/>
      <w:r w:rsidR="007702B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месторождения урана, расположенного в </w:t>
      </w:r>
      <w:proofErr w:type="spellStart"/>
      <w:r w:rsidR="007702BB">
        <w:rPr>
          <w:rFonts w:eastAsia="Times New Roman" w:cs="Times New Roman"/>
          <w:color w:val="000000"/>
          <w:sz w:val="28"/>
          <w:szCs w:val="28"/>
          <w:lang w:eastAsia="ru-RU"/>
        </w:rPr>
        <w:t>Долматовском</w:t>
      </w:r>
      <w:proofErr w:type="spellEnd"/>
      <w:r w:rsidR="007702B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районе Курганской области, способом подземного выщелачивания»; «Технический проект разработки «Октябрьского» месторождения. </w:t>
      </w:r>
      <w:r w:rsidR="007702BB" w:rsidRPr="0093218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Рудник «Таймырский». Участок богатых руд» (сульфидные медно-никелевые руды), </w:t>
      </w:r>
      <w:r w:rsidR="00772C3F" w:rsidRPr="00932181"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AA076A" w:rsidRPr="0093218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Технический проект опытно-промышленной разработки участка Западный месторождения </w:t>
      </w:r>
      <w:proofErr w:type="spellStart"/>
      <w:r w:rsidR="00AA076A" w:rsidRPr="00932181">
        <w:rPr>
          <w:rFonts w:eastAsia="Times New Roman" w:cs="Times New Roman"/>
          <w:color w:val="000000"/>
          <w:sz w:val="28"/>
          <w:szCs w:val="28"/>
          <w:lang w:eastAsia="ru-RU"/>
        </w:rPr>
        <w:t>Муртыкты</w:t>
      </w:r>
      <w:proofErr w:type="spellEnd"/>
      <w:r w:rsidR="00AA076A" w:rsidRPr="0093218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открытым способом</w:t>
      </w:r>
      <w:r w:rsidR="00772C3F" w:rsidRPr="00932181">
        <w:rPr>
          <w:rFonts w:eastAsia="Times New Roman" w:cs="Times New Roman"/>
          <w:color w:val="000000"/>
          <w:sz w:val="28"/>
          <w:szCs w:val="28"/>
          <w:lang w:eastAsia="ru-RU"/>
        </w:rPr>
        <w:t>» (золотосеребряные руды)</w:t>
      </w:r>
      <w:r w:rsidR="007702BB" w:rsidRPr="00932181">
        <w:rPr>
          <w:rFonts w:eastAsia="Times New Roman" w:cs="Times New Roman"/>
          <w:color w:val="000000"/>
          <w:sz w:val="28"/>
          <w:szCs w:val="28"/>
          <w:lang w:eastAsia="ru-RU"/>
        </w:rPr>
        <w:t>, «Проектная</w:t>
      </w:r>
      <w:r w:rsidR="007702B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документация по первично</w:t>
      </w:r>
      <w:r w:rsidR="00AF7E28">
        <w:rPr>
          <w:rFonts w:eastAsia="Times New Roman" w:cs="Times New Roman"/>
          <w:color w:val="000000"/>
          <w:sz w:val="28"/>
          <w:szCs w:val="28"/>
          <w:lang w:eastAsia="ru-RU"/>
        </w:rPr>
        <w:t>й</w:t>
      </w:r>
      <w:r w:rsidR="007702B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переработке минерального сырья месторождения Купол» (золотосеребряные руды).</w:t>
      </w:r>
    </w:p>
    <w:p w:rsidR="006D4E42" w:rsidRPr="009955DF" w:rsidRDefault="006D4E42" w:rsidP="009955DF">
      <w:pPr>
        <w:pStyle w:val="1"/>
        <w:rPr>
          <w:rFonts w:ascii="Times New Roman" w:hAnsi="Times New Roman" w:cs="Times New Roman"/>
        </w:rPr>
      </w:pPr>
      <w:bookmarkStart w:id="6" w:name="_Toc489276303"/>
      <w:r w:rsidRPr="009955DF">
        <w:rPr>
          <w:rFonts w:ascii="Times New Roman" w:hAnsi="Times New Roman" w:cs="Times New Roman"/>
        </w:rPr>
        <w:t>6. Сбор, хранение и предоставление в пользование геологической информации</w:t>
      </w:r>
      <w:bookmarkEnd w:id="6"/>
    </w:p>
    <w:p w:rsidR="002216E8" w:rsidRDefault="002216E8" w:rsidP="002216E8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bookmarkStart w:id="7" w:name="_Toc489276304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9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месяцев 2017 г. получены следующие результаты:</w:t>
      </w:r>
    </w:p>
    <w:p w:rsidR="002216E8" w:rsidRPr="009955DF" w:rsidRDefault="002216E8" w:rsidP="002216E8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6.1. </w:t>
      </w:r>
      <w:r w:rsidRPr="002301EB">
        <w:rPr>
          <w:rFonts w:eastAsia="Times New Roman" w:cs="Times New Roman"/>
          <w:color w:val="000000"/>
          <w:sz w:val="28"/>
          <w:szCs w:val="28"/>
          <w:lang w:eastAsia="ru-RU"/>
        </w:rPr>
        <w:t>За 9 месяцев 2017 году массив Государственных геологических информационных ресурсов, хранящихся в ФГБУ «</w:t>
      </w:r>
      <w:proofErr w:type="spellStart"/>
      <w:r w:rsidRPr="002301EB">
        <w:rPr>
          <w:rFonts w:eastAsia="Times New Roman" w:cs="Times New Roman"/>
          <w:color w:val="000000"/>
          <w:sz w:val="28"/>
          <w:szCs w:val="28"/>
          <w:lang w:eastAsia="ru-RU"/>
        </w:rPr>
        <w:t>Росгеолфонд</w:t>
      </w:r>
      <w:proofErr w:type="spellEnd"/>
      <w:r w:rsidRPr="002301EB">
        <w:rPr>
          <w:rFonts w:eastAsia="Times New Roman" w:cs="Times New Roman"/>
          <w:color w:val="000000"/>
          <w:sz w:val="28"/>
          <w:szCs w:val="28"/>
          <w:lang w:eastAsia="ru-RU"/>
        </w:rPr>
        <w:t>», был пополнен на 15704 единиц хранения и достиг уровня 3 972,704 тыс. единиц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2216E8" w:rsidRPr="009955DF" w:rsidRDefault="002216E8" w:rsidP="002216E8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о федеральной государственной информационной системе «Единый фонд геологической информации о недрах» (ФГИС ЕФГИ):</w:t>
      </w:r>
    </w:p>
    <w:p w:rsidR="002216E8" w:rsidRPr="009955DF" w:rsidRDefault="002216E8" w:rsidP="002216E8">
      <w:pPr>
        <w:pStyle w:val="a3"/>
        <w:numPr>
          <w:ilvl w:val="0"/>
          <w:numId w:val="10"/>
        </w:numPr>
        <w:spacing w:before="240" w:after="0" w:line="288" w:lineRule="auto"/>
        <w:ind w:left="357" w:hanging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проведен анализ и выбор сре</w:t>
      </w:r>
      <w:proofErr w:type="gramStart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ограммно-технологической платформы для формирования и ведения ФГИС ЕФГИ;</w:t>
      </w:r>
    </w:p>
    <w:p w:rsidR="002216E8" w:rsidRPr="009955DF" w:rsidRDefault="001102D8" w:rsidP="001102D8">
      <w:pPr>
        <w:pStyle w:val="a3"/>
        <w:spacing w:before="240" w:after="0" w:line="288" w:lineRule="auto"/>
        <w:ind w:left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2216E8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подготовлен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действующий прототип подсистемы;</w:t>
      </w:r>
    </w:p>
    <w:p w:rsidR="002216E8" w:rsidRDefault="001102D8" w:rsidP="001102D8">
      <w:pPr>
        <w:pStyle w:val="a3"/>
        <w:spacing w:before="240" w:after="0" w:line="288" w:lineRule="auto"/>
        <w:ind w:left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2216E8" w:rsidRPr="004C1E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произведено наполнение прототипа Реестра сведениями о 839 384 объектах учета, полученных из каталогов Федерального фонда геологической информации. </w:t>
      </w:r>
    </w:p>
    <w:p w:rsidR="006D4E42" w:rsidRPr="009955DF" w:rsidRDefault="006D4E42" w:rsidP="009955DF">
      <w:pPr>
        <w:pStyle w:val="1"/>
        <w:rPr>
          <w:rFonts w:ascii="Times New Roman" w:hAnsi="Times New Roman" w:cs="Times New Roman"/>
        </w:rPr>
      </w:pPr>
      <w:r w:rsidRPr="009955DF">
        <w:rPr>
          <w:rFonts w:ascii="Times New Roman" w:hAnsi="Times New Roman" w:cs="Times New Roman"/>
        </w:rPr>
        <w:t>7. Кадровое обеспечение деятельности Роснедр</w:t>
      </w:r>
      <w:bookmarkEnd w:id="7"/>
    </w:p>
    <w:p w:rsidR="00103FC7" w:rsidRDefault="006D4E42" w:rsidP="009955DF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соответствии с Планом-графиком по дополнительному образованию в рамках исполнения государственного заказа на переподготовку, повышение квалификации в 2017 году, утвержденным заместителем Министра природных ресурсов и экологии Российской Федерации – руководителем Федерального агентства по недропользованию Е.А. Киселевым от 06 марта 2017 года, </w:t>
      </w:r>
      <w:r w:rsidR="00103FC7">
        <w:rPr>
          <w:rFonts w:eastAsia="Times New Roman" w:cs="Times New Roman"/>
          <w:color w:val="000000"/>
          <w:sz w:val="28"/>
          <w:szCs w:val="28"/>
          <w:lang w:eastAsia="ru-RU"/>
        </w:rPr>
        <w:t>за 9 месяцев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2017 года прошли обучение в РАНХ и ГС </w:t>
      </w:r>
      <w:r w:rsidR="00103FC7"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государственных гражданских служащих по тем</w:t>
      </w:r>
      <w:r w:rsidR="00103FC7">
        <w:rPr>
          <w:rFonts w:eastAsia="Times New Roman" w:cs="Times New Roman"/>
          <w:color w:val="000000"/>
          <w:sz w:val="28"/>
          <w:szCs w:val="28"/>
          <w:lang w:eastAsia="ru-RU"/>
        </w:rPr>
        <w:t>ам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End"/>
    </w:p>
    <w:p w:rsidR="00103FC7" w:rsidRDefault="006D4E42" w:rsidP="009955DF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«Актуальные вопросы государственного и муниципального управления»</w:t>
      </w:r>
      <w:r w:rsidR="00103F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- 4 чел</w:t>
      </w:r>
    </w:p>
    <w:p w:rsidR="006D4E42" w:rsidRPr="009955DF" w:rsidRDefault="00103FC7" w:rsidP="009955DF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«Порядок и процедуры урегулирования конфликтов на государственной службе – 2 чел.</w:t>
      </w:r>
    </w:p>
    <w:p w:rsidR="006D4E42" w:rsidRDefault="006D4E42" w:rsidP="009955DF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За январь-</w:t>
      </w:r>
      <w:r w:rsidR="00103FC7">
        <w:rPr>
          <w:rFonts w:eastAsia="Times New Roman" w:cs="Times New Roman"/>
          <w:color w:val="000000"/>
          <w:sz w:val="28"/>
          <w:szCs w:val="28"/>
          <w:lang w:eastAsia="ru-RU"/>
        </w:rPr>
        <w:t>октябрь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2017 года по результатам профессиональной деятельности и сдачи квалификационного экзамена присвоены классные чины государственной гражданской службы Российской Федерации </w:t>
      </w:r>
      <w:r w:rsidR="00103FC7">
        <w:rPr>
          <w:rFonts w:eastAsia="Times New Roman" w:cs="Times New Roman"/>
          <w:color w:val="000000"/>
          <w:sz w:val="28"/>
          <w:szCs w:val="28"/>
          <w:lang w:eastAsia="ru-RU"/>
        </w:rPr>
        <w:t>22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государственным гражданским служащим Федерального агентства по недропользованию:</w:t>
      </w:r>
    </w:p>
    <w:p w:rsidR="00103FC7" w:rsidRPr="009955DF" w:rsidRDefault="00103FC7" w:rsidP="009955DF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03FC7" w:rsidRDefault="00103FC7" w:rsidP="009955DF">
      <w:pPr>
        <w:pStyle w:val="a3"/>
        <w:numPr>
          <w:ilvl w:val="0"/>
          <w:numId w:val="10"/>
        </w:numPr>
        <w:spacing w:before="240" w:after="0" w:line="288" w:lineRule="auto"/>
        <w:ind w:left="357" w:hanging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действиттельный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государственный советник государственной службы РФ 3 класса – 1 чел;</w:t>
      </w:r>
    </w:p>
    <w:p w:rsidR="00103FC7" w:rsidRDefault="00103FC7" w:rsidP="009955DF">
      <w:pPr>
        <w:pStyle w:val="a3"/>
        <w:numPr>
          <w:ilvl w:val="0"/>
          <w:numId w:val="10"/>
        </w:numPr>
        <w:spacing w:before="240" w:after="0" w:line="288" w:lineRule="auto"/>
        <w:ind w:left="357" w:hanging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государственный советник государственной гражданской службы 3 класса – 4 чел;</w:t>
      </w:r>
    </w:p>
    <w:p w:rsidR="00103FC7" w:rsidRPr="00103FC7" w:rsidRDefault="00103FC7" w:rsidP="00103FC7">
      <w:pPr>
        <w:pStyle w:val="a3"/>
        <w:numPr>
          <w:ilvl w:val="0"/>
          <w:numId w:val="10"/>
        </w:numPr>
        <w:spacing w:before="240" w:after="0" w:line="288" w:lineRule="auto"/>
        <w:ind w:left="357" w:hanging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советник государственной гражданской службы РФ 1 класса – 1 чел;</w:t>
      </w:r>
    </w:p>
    <w:p w:rsidR="006D4E42" w:rsidRPr="009955DF" w:rsidRDefault="006D4E42" w:rsidP="009955DF">
      <w:pPr>
        <w:pStyle w:val="a3"/>
        <w:numPr>
          <w:ilvl w:val="0"/>
          <w:numId w:val="10"/>
        </w:numPr>
        <w:spacing w:before="240" w:after="0" w:line="288" w:lineRule="auto"/>
        <w:ind w:left="357" w:hanging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советник государственной гражданской службы РФ 2 класса – 1 чел;</w:t>
      </w:r>
    </w:p>
    <w:p w:rsidR="006D4E42" w:rsidRPr="009955DF" w:rsidRDefault="006D4E42" w:rsidP="009955DF">
      <w:pPr>
        <w:pStyle w:val="a3"/>
        <w:numPr>
          <w:ilvl w:val="0"/>
          <w:numId w:val="10"/>
        </w:numPr>
        <w:spacing w:before="240" w:after="0" w:line="288" w:lineRule="auto"/>
        <w:ind w:left="357" w:hanging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советник государственной гражданской службы РФ 3 класса – </w:t>
      </w:r>
      <w:r w:rsidR="00103FC7"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чел;</w:t>
      </w:r>
    </w:p>
    <w:p w:rsidR="006D4E42" w:rsidRPr="009955DF" w:rsidRDefault="006D4E42" w:rsidP="009955DF">
      <w:pPr>
        <w:pStyle w:val="a3"/>
        <w:numPr>
          <w:ilvl w:val="0"/>
          <w:numId w:val="10"/>
        </w:numPr>
        <w:spacing w:before="240" w:after="0" w:line="288" w:lineRule="auto"/>
        <w:ind w:left="357" w:hanging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референт государственной гражданской службы РФ 1 класса – 2 чел;</w:t>
      </w:r>
    </w:p>
    <w:p w:rsidR="00103FC7" w:rsidRDefault="00103FC7" w:rsidP="009955DF">
      <w:pPr>
        <w:pStyle w:val="a3"/>
        <w:numPr>
          <w:ilvl w:val="0"/>
          <w:numId w:val="10"/>
        </w:numPr>
        <w:spacing w:before="240" w:after="0" w:line="288" w:lineRule="auto"/>
        <w:ind w:left="357" w:hanging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референт государственной гражданской службы РФ 2 класса –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чел</w:t>
      </w:r>
    </w:p>
    <w:p w:rsidR="00103FC7" w:rsidRDefault="00103FC7" w:rsidP="00103FC7">
      <w:pPr>
        <w:pStyle w:val="a3"/>
        <w:numPr>
          <w:ilvl w:val="0"/>
          <w:numId w:val="10"/>
        </w:numPr>
        <w:spacing w:before="240" w:after="0" w:line="288" w:lineRule="auto"/>
        <w:ind w:left="357" w:hanging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референт государственной гражданской службы РФ 3 класса –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103FC7" w:rsidRPr="009955DF" w:rsidRDefault="00103FC7" w:rsidP="009955DF">
      <w:pPr>
        <w:pStyle w:val="a3"/>
        <w:numPr>
          <w:ilvl w:val="0"/>
          <w:numId w:val="10"/>
        </w:numPr>
        <w:spacing w:before="240" w:after="0" w:line="288" w:lineRule="auto"/>
        <w:ind w:left="357" w:hanging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D4E42" w:rsidRPr="009955DF" w:rsidRDefault="00103FC7" w:rsidP="009955DF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За 9 месяцев</w:t>
      </w:r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2017 года в Федеральном агентстве по недропользованию проведено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конкурс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ов</w:t>
      </w:r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по</w:t>
      </w:r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замещени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ю</w:t>
      </w:r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вакантных должностей государственной гражданской службы и зачислени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ю</w:t>
      </w:r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кадровый резерв </w:t>
      </w:r>
      <w:proofErr w:type="spellStart"/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>Роснедра</w:t>
      </w:r>
      <w:proofErr w:type="spellEnd"/>
      <w:r w:rsidR="006D4E42" w:rsidRPr="009955DF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6D4E42" w:rsidRPr="009955DF" w:rsidRDefault="006D4E42" w:rsidP="009955DF">
      <w:pPr>
        <w:spacing w:after="0" w:line="288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 результатам данных конкурсов </w:t>
      </w:r>
      <w:r w:rsidR="00103FC7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государственных гражданских служащих назначены на вышестоящие должности, а 3</w:t>
      </w:r>
      <w:r w:rsidR="00103FC7">
        <w:rPr>
          <w:rFonts w:eastAsia="Times New Roman" w:cs="Times New Roman"/>
          <w:color w:val="000000"/>
          <w:sz w:val="28"/>
          <w:szCs w:val="28"/>
          <w:lang w:eastAsia="ru-RU"/>
        </w:rPr>
        <w:t>7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зачислены в кадровый резерв, из них:</w:t>
      </w:r>
      <w:proofErr w:type="gramEnd"/>
    </w:p>
    <w:p w:rsidR="006D4E42" w:rsidRPr="009955DF" w:rsidRDefault="006D4E42" w:rsidP="009955DF">
      <w:pPr>
        <w:pStyle w:val="a3"/>
        <w:numPr>
          <w:ilvl w:val="0"/>
          <w:numId w:val="10"/>
        </w:numPr>
        <w:spacing w:before="240" w:after="0" w:line="288" w:lineRule="auto"/>
        <w:ind w:left="357" w:hanging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 главной группе должностей – </w:t>
      </w:r>
      <w:r w:rsidR="0024430E">
        <w:rPr>
          <w:rFonts w:eastAsia="Times New Roman" w:cs="Times New Roman"/>
          <w:color w:val="000000"/>
          <w:sz w:val="28"/>
          <w:szCs w:val="28"/>
          <w:lang w:eastAsia="ru-RU"/>
        </w:rPr>
        <w:t>19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6D4E42" w:rsidRPr="009955DF" w:rsidRDefault="006D4E42" w:rsidP="009955DF">
      <w:pPr>
        <w:pStyle w:val="a3"/>
        <w:numPr>
          <w:ilvl w:val="0"/>
          <w:numId w:val="10"/>
        </w:numPr>
        <w:spacing w:before="240" w:after="0" w:line="288" w:lineRule="auto"/>
        <w:ind w:left="357" w:hanging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 ведущей группе должностей – </w:t>
      </w:r>
      <w:r w:rsidR="0024430E">
        <w:rPr>
          <w:rFonts w:eastAsia="Times New Roman" w:cs="Times New Roman"/>
          <w:color w:val="000000"/>
          <w:sz w:val="28"/>
          <w:szCs w:val="28"/>
          <w:lang w:eastAsia="ru-RU"/>
        </w:rPr>
        <w:t>13</w:t>
      </w: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6D4E42" w:rsidRPr="0024430E" w:rsidRDefault="006D4E42" w:rsidP="009955DF">
      <w:pPr>
        <w:pStyle w:val="a3"/>
        <w:numPr>
          <w:ilvl w:val="0"/>
          <w:numId w:val="10"/>
        </w:numPr>
        <w:spacing w:before="240" w:after="0" w:line="288" w:lineRule="auto"/>
        <w:ind w:left="357" w:hanging="357"/>
        <w:contextualSpacing w:val="0"/>
        <w:rPr>
          <w:rFonts w:eastAsia="Times New Roman" w:cs="Times New Roman"/>
          <w:color w:val="000000"/>
          <w:szCs w:val="24"/>
          <w:lang w:eastAsia="ru-RU"/>
        </w:rPr>
      </w:pPr>
      <w:r w:rsidRPr="009955DF">
        <w:rPr>
          <w:rFonts w:eastAsia="Times New Roman" w:cs="Times New Roman"/>
          <w:color w:val="000000"/>
          <w:sz w:val="28"/>
          <w:szCs w:val="28"/>
          <w:lang w:eastAsia="ru-RU"/>
        </w:rPr>
        <w:t>по старшей группе</w:t>
      </w:r>
      <w:r w:rsidRPr="009955D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443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должностей – </w:t>
      </w:r>
      <w:r w:rsidR="0024430E" w:rsidRPr="0024430E"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 w:rsidRPr="0024430E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24430E" w:rsidRDefault="0024430E" w:rsidP="0024430E">
      <w:pPr>
        <w:pStyle w:val="a3"/>
        <w:spacing w:before="240" w:after="0" w:line="288" w:lineRule="auto"/>
        <w:ind w:left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 высокие показатели в профессиональной деятельности в отчетном периоде </w:t>
      </w:r>
      <w:r w:rsidR="00E82054">
        <w:rPr>
          <w:rFonts w:eastAsia="Times New Roman" w:cs="Times New Roman"/>
          <w:color w:val="000000"/>
          <w:sz w:val="28"/>
          <w:szCs w:val="28"/>
          <w:lang w:eastAsia="ru-RU"/>
        </w:rPr>
        <w:t>поощрено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763 человека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центральном аппарате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Роснедр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12 чел.) из них:</w:t>
      </w:r>
    </w:p>
    <w:p w:rsidR="0024430E" w:rsidRDefault="0024430E" w:rsidP="0024430E">
      <w:pPr>
        <w:pStyle w:val="a3"/>
        <w:spacing w:before="240" w:after="0" w:line="288" w:lineRule="auto"/>
        <w:ind w:left="357"/>
        <w:contextualSpacing w:val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Министерством природных ресурсов и экологии Российской Федерации – 232 чел.;</w:t>
      </w:r>
    </w:p>
    <w:p w:rsidR="0024430E" w:rsidRPr="009955DF" w:rsidRDefault="0024430E" w:rsidP="0024430E">
      <w:pPr>
        <w:pStyle w:val="a3"/>
        <w:spacing w:before="240" w:after="0" w:line="288" w:lineRule="auto"/>
        <w:ind w:left="357"/>
        <w:contextualSpacing w:val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Федеральным агентством по недропользованию – 531 чел.</w:t>
      </w:r>
    </w:p>
    <w:sectPr w:rsidR="0024430E" w:rsidRPr="009955DF" w:rsidSect="00980A72">
      <w:footerReference w:type="default" r:id="rId10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257" w:rsidRDefault="007D4257" w:rsidP="00FC6484">
      <w:pPr>
        <w:spacing w:before="0" w:after="0"/>
      </w:pPr>
      <w:r>
        <w:separator/>
      </w:r>
    </w:p>
  </w:endnote>
  <w:endnote w:type="continuationSeparator" w:id="0">
    <w:p w:rsidR="007D4257" w:rsidRDefault="007D4257" w:rsidP="00FC64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225123"/>
      <w:docPartObj>
        <w:docPartGallery w:val="Page Numbers (Bottom of Page)"/>
        <w:docPartUnique/>
      </w:docPartObj>
    </w:sdtPr>
    <w:sdtEndPr/>
    <w:sdtContent>
      <w:p w:rsidR="00FC6484" w:rsidRDefault="00FC6484" w:rsidP="003D3B8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88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257" w:rsidRDefault="007D4257" w:rsidP="00FC6484">
      <w:pPr>
        <w:spacing w:before="0" w:after="0"/>
      </w:pPr>
      <w:r>
        <w:separator/>
      </w:r>
    </w:p>
  </w:footnote>
  <w:footnote w:type="continuationSeparator" w:id="0">
    <w:p w:rsidR="007D4257" w:rsidRDefault="007D4257" w:rsidP="00FC648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D4D"/>
    <w:multiLevelType w:val="hybridMultilevel"/>
    <w:tmpl w:val="6CC2B064"/>
    <w:lvl w:ilvl="0" w:tplc="1FA8BC60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color w:val="2E74B5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724C31"/>
    <w:multiLevelType w:val="hybridMultilevel"/>
    <w:tmpl w:val="6B004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4466B"/>
    <w:multiLevelType w:val="hybridMultilevel"/>
    <w:tmpl w:val="514C23FC"/>
    <w:lvl w:ilvl="0" w:tplc="E2D4A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E79" w:themeColor="accent1" w:themeShade="8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744AE8"/>
    <w:multiLevelType w:val="hybridMultilevel"/>
    <w:tmpl w:val="8ADCB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0640D"/>
    <w:multiLevelType w:val="hybridMultilevel"/>
    <w:tmpl w:val="1A904D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13C43AC"/>
    <w:multiLevelType w:val="hybridMultilevel"/>
    <w:tmpl w:val="A308D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C566B"/>
    <w:multiLevelType w:val="hybridMultilevel"/>
    <w:tmpl w:val="19AAE3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BA6860"/>
    <w:multiLevelType w:val="hybridMultilevel"/>
    <w:tmpl w:val="05C6E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5114C"/>
    <w:multiLevelType w:val="hybridMultilevel"/>
    <w:tmpl w:val="7DF0C2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8305FB"/>
    <w:multiLevelType w:val="hybridMultilevel"/>
    <w:tmpl w:val="8ADCB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D3"/>
    <w:rsid w:val="00010961"/>
    <w:rsid w:val="00017AFC"/>
    <w:rsid w:val="00021024"/>
    <w:rsid w:val="000435EC"/>
    <w:rsid w:val="00077A9C"/>
    <w:rsid w:val="00081697"/>
    <w:rsid w:val="000F1833"/>
    <w:rsid w:val="00103FC7"/>
    <w:rsid w:val="001102D8"/>
    <w:rsid w:val="00115BDB"/>
    <w:rsid w:val="001172B4"/>
    <w:rsid w:val="0013157E"/>
    <w:rsid w:val="00134F3D"/>
    <w:rsid w:val="001374B4"/>
    <w:rsid w:val="00137823"/>
    <w:rsid w:val="00143E14"/>
    <w:rsid w:val="00147EBF"/>
    <w:rsid w:val="00152959"/>
    <w:rsid w:val="001624B5"/>
    <w:rsid w:val="00195EB3"/>
    <w:rsid w:val="001B3E11"/>
    <w:rsid w:val="001B410A"/>
    <w:rsid w:val="001D1258"/>
    <w:rsid w:val="001F0B93"/>
    <w:rsid w:val="001F69AD"/>
    <w:rsid w:val="002114E0"/>
    <w:rsid w:val="0021193B"/>
    <w:rsid w:val="002216E8"/>
    <w:rsid w:val="0023265F"/>
    <w:rsid w:val="0024430E"/>
    <w:rsid w:val="002619E5"/>
    <w:rsid w:val="0026517C"/>
    <w:rsid w:val="002C2569"/>
    <w:rsid w:val="0030033A"/>
    <w:rsid w:val="003009B1"/>
    <w:rsid w:val="0030560A"/>
    <w:rsid w:val="00321863"/>
    <w:rsid w:val="003275E1"/>
    <w:rsid w:val="00337881"/>
    <w:rsid w:val="00340052"/>
    <w:rsid w:val="00344299"/>
    <w:rsid w:val="00345B49"/>
    <w:rsid w:val="00356F62"/>
    <w:rsid w:val="00367D82"/>
    <w:rsid w:val="0037053B"/>
    <w:rsid w:val="00381DFC"/>
    <w:rsid w:val="00396EA8"/>
    <w:rsid w:val="003D3B8E"/>
    <w:rsid w:val="003E39B0"/>
    <w:rsid w:val="003E7D91"/>
    <w:rsid w:val="00420871"/>
    <w:rsid w:val="00457219"/>
    <w:rsid w:val="00460D43"/>
    <w:rsid w:val="00461CEA"/>
    <w:rsid w:val="004863E5"/>
    <w:rsid w:val="004A5032"/>
    <w:rsid w:val="004B249E"/>
    <w:rsid w:val="004C01A5"/>
    <w:rsid w:val="004C6363"/>
    <w:rsid w:val="00530440"/>
    <w:rsid w:val="0056052E"/>
    <w:rsid w:val="00561110"/>
    <w:rsid w:val="005D07C0"/>
    <w:rsid w:val="005D58CD"/>
    <w:rsid w:val="005E6269"/>
    <w:rsid w:val="0061410B"/>
    <w:rsid w:val="00626684"/>
    <w:rsid w:val="00663EF4"/>
    <w:rsid w:val="00695D70"/>
    <w:rsid w:val="006B1AB3"/>
    <w:rsid w:val="006B21DE"/>
    <w:rsid w:val="006D4E42"/>
    <w:rsid w:val="006D64DE"/>
    <w:rsid w:val="006E0F6B"/>
    <w:rsid w:val="006E302F"/>
    <w:rsid w:val="006F2780"/>
    <w:rsid w:val="006F5FEE"/>
    <w:rsid w:val="00713E65"/>
    <w:rsid w:val="0071707D"/>
    <w:rsid w:val="0072255C"/>
    <w:rsid w:val="007360F5"/>
    <w:rsid w:val="00744E4D"/>
    <w:rsid w:val="00760CA5"/>
    <w:rsid w:val="007702BB"/>
    <w:rsid w:val="00772C3F"/>
    <w:rsid w:val="0077679B"/>
    <w:rsid w:val="007D3A80"/>
    <w:rsid w:val="007D4257"/>
    <w:rsid w:val="007D4FF8"/>
    <w:rsid w:val="007F26F6"/>
    <w:rsid w:val="0081150E"/>
    <w:rsid w:val="00813843"/>
    <w:rsid w:val="008320F1"/>
    <w:rsid w:val="00840B00"/>
    <w:rsid w:val="0084300F"/>
    <w:rsid w:val="00845B2D"/>
    <w:rsid w:val="00845F8D"/>
    <w:rsid w:val="00850701"/>
    <w:rsid w:val="008A5D92"/>
    <w:rsid w:val="008B6186"/>
    <w:rsid w:val="008C763D"/>
    <w:rsid w:val="008D162E"/>
    <w:rsid w:val="008E22E0"/>
    <w:rsid w:val="008E2B93"/>
    <w:rsid w:val="008E74BA"/>
    <w:rsid w:val="00924296"/>
    <w:rsid w:val="00932181"/>
    <w:rsid w:val="00933D0D"/>
    <w:rsid w:val="00963B96"/>
    <w:rsid w:val="0096413A"/>
    <w:rsid w:val="00980A72"/>
    <w:rsid w:val="0098321A"/>
    <w:rsid w:val="009833F7"/>
    <w:rsid w:val="0099387A"/>
    <w:rsid w:val="009955DF"/>
    <w:rsid w:val="009A3801"/>
    <w:rsid w:val="009A47E3"/>
    <w:rsid w:val="009C7852"/>
    <w:rsid w:val="009E0ADE"/>
    <w:rsid w:val="00A065E0"/>
    <w:rsid w:val="00A23413"/>
    <w:rsid w:val="00A3496C"/>
    <w:rsid w:val="00A403B3"/>
    <w:rsid w:val="00A406B2"/>
    <w:rsid w:val="00A5059F"/>
    <w:rsid w:val="00AA076A"/>
    <w:rsid w:val="00AA2021"/>
    <w:rsid w:val="00AA4E15"/>
    <w:rsid w:val="00AC19BF"/>
    <w:rsid w:val="00AC7341"/>
    <w:rsid w:val="00AD42EC"/>
    <w:rsid w:val="00AE57D5"/>
    <w:rsid w:val="00AF6775"/>
    <w:rsid w:val="00AF7E28"/>
    <w:rsid w:val="00B03221"/>
    <w:rsid w:val="00B07A9F"/>
    <w:rsid w:val="00B17AF1"/>
    <w:rsid w:val="00B5561E"/>
    <w:rsid w:val="00B61A7B"/>
    <w:rsid w:val="00B64027"/>
    <w:rsid w:val="00B65615"/>
    <w:rsid w:val="00B764DA"/>
    <w:rsid w:val="00B77EB2"/>
    <w:rsid w:val="00B968DC"/>
    <w:rsid w:val="00BA6A8C"/>
    <w:rsid w:val="00BB04AF"/>
    <w:rsid w:val="00BD1216"/>
    <w:rsid w:val="00BD4885"/>
    <w:rsid w:val="00BE59B9"/>
    <w:rsid w:val="00C26396"/>
    <w:rsid w:val="00C52D43"/>
    <w:rsid w:val="00C61DD8"/>
    <w:rsid w:val="00C72951"/>
    <w:rsid w:val="00C84B41"/>
    <w:rsid w:val="00C84CBA"/>
    <w:rsid w:val="00C858CB"/>
    <w:rsid w:val="00CA5B11"/>
    <w:rsid w:val="00CC3A81"/>
    <w:rsid w:val="00CC3A99"/>
    <w:rsid w:val="00CE7E64"/>
    <w:rsid w:val="00CF338C"/>
    <w:rsid w:val="00CF77C5"/>
    <w:rsid w:val="00D016D1"/>
    <w:rsid w:val="00D01EF1"/>
    <w:rsid w:val="00D22BEC"/>
    <w:rsid w:val="00D33504"/>
    <w:rsid w:val="00D96444"/>
    <w:rsid w:val="00DD52D5"/>
    <w:rsid w:val="00DE07C5"/>
    <w:rsid w:val="00E12262"/>
    <w:rsid w:val="00E247B1"/>
    <w:rsid w:val="00E30588"/>
    <w:rsid w:val="00E305DD"/>
    <w:rsid w:val="00E3072C"/>
    <w:rsid w:val="00E33BD3"/>
    <w:rsid w:val="00E400B8"/>
    <w:rsid w:val="00E428F7"/>
    <w:rsid w:val="00E442A3"/>
    <w:rsid w:val="00E447A2"/>
    <w:rsid w:val="00E52F46"/>
    <w:rsid w:val="00E67FEF"/>
    <w:rsid w:val="00E82054"/>
    <w:rsid w:val="00E842DF"/>
    <w:rsid w:val="00E95255"/>
    <w:rsid w:val="00EA7DCC"/>
    <w:rsid w:val="00EB2C78"/>
    <w:rsid w:val="00EC76FA"/>
    <w:rsid w:val="00ED46A7"/>
    <w:rsid w:val="00EE4A71"/>
    <w:rsid w:val="00EE69B2"/>
    <w:rsid w:val="00EF18F4"/>
    <w:rsid w:val="00EF558E"/>
    <w:rsid w:val="00F04F0D"/>
    <w:rsid w:val="00F10C5C"/>
    <w:rsid w:val="00F149A3"/>
    <w:rsid w:val="00F30B2E"/>
    <w:rsid w:val="00F63FA1"/>
    <w:rsid w:val="00F9250E"/>
    <w:rsid w:val="00FB60B7"/>
    <w:rsid w:val="00FB758F"/>
    <w:rsid w:val="00FC6484"/>
    <w:rsid w:val="00FE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B4"/>
    <w:pPr>
      <w:spacing w:before="12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aliases w:val="01_Заголовок 1"/>
    <w:basedOn w:val="a"/>
    <w:next w:val="a"/>
    <w:link w:val="10"/>
    <w:uiPriority w:val="9"/>
    <w:qFormat/>
    <w:rsid w:val="00AA2021"/>
    <w:pPr>
      <w:keepNext/>
      <w:keepLines/>
      <w:spacing w:before="240" w:after="0" w:line="276" w:lineRule="auto"/>
      <w:jc w:val="left"/>
      <w:outlineLvl w:val="0"/>
    </w:pPr>
    <w:rPr>
      <w:rFonts w:asciiTheme="majorHAnsi" w:eastAsia="Times New Roman" w:hAnsiTheme="majorHAnsi" w:cstheme="majorBidi"/>
      <w:b/>
      <w:cap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A20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677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775"/>
    <w:rPr>
      <w:rFonts w:ascii="Segoe UI" w:hAnsi="Segoe UI" w:cs="Segoe UI"/>
      <w:sz w:val="18"/>
      <w:szCs w:val="18"/>
    </w:rPr>
  </w:style>
  <w:style w:type="paragraph" w:customStyle="1" w:styleId="3">
    <w:name w:val="Знак3 Знак Знак Знак Знак Знак Знак Знак Знак Знак"/>
    <w:basedOn w:val="a"/>
    <w:rsid w:val="008B6186"/>
    <w:pPr>
      <w:tabs>
        <w:tab w:val="left" w:pos="0"/>
      </w:tabs>
      <w:spacing w:before="0" w:line="240" w:lineRule="exact"/>
      <w:ind w:right="57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rmal (Web)"/>
    <w:basedOn w:val="a"/>
    <w:uiPriority w:val="99"/>
    <w:semiHidden/>
    <w:unhideWhenUsed/>
    <w:rsid w:val="00E442A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aliases w:val="01_Заголовок 1 Знак"/>
    <w:basedOn w:val="a0"/>
    <w:link w:val="1"/>
    <w:uiPriority w:val="9"/>
    <w:rsid w:val="00AA2021"/>
    <w:rPr>
      <w:rFonts w:asciiTheme="majorHAnsi" w:eastAsia="Times New Roman" w:hAnsiTheme="majorHAnsi" w:cstheme="majorBidi"/>
      <w:b/>
      <w:caps/>
      <w:color w:val="2E74B5" w:themeColor="accent1" w:themeShade="BF"/>
      <w:sz w:val="28"/>
      <w:szCs w:val="28"/>
      <w:lang w:eastAsia="ru-RU"/>
    </w:rPr>
  </w:style>
  <w:style w:type="paragraph" w:styleId="a7">
    <w:name w:val="Body Text"/>
    <w:basedOn w:val="a"/>
    <w:link w:val="a8"/>
    <w:rsid w:val="004C01A5"/>
    <w:pPr>
      <w:spacing w:before="0" w:after="0"/>
    </w:pPr>
    <w:rPr>
      <w:rFonts w:eastAsia="Times New Roman" w:cs="Times New Roman"/>
      <w:sz w:val="26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C01A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C648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FC6484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C6484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FC6484"/>
    <w:rPr>
      <w:rFonts w:ascii="Times New Roman" w:hAnsi="Times New Roman"/>
      <w:sz w:val="24"/>
    </w:rPr>
  </w:style>
  <w:style w:type="paragraph" w:customStyle="1" w:styleId="00">
    <w:name w:val="00_Подписи к рисункам"/>
    <w:basedOn w:val="a"/>
    <w:link w:val="000"/>
    <w:autoRedefine/>
    <w:qFormat/>
    <w:rsid w:val="0099387A"/>
    <w:pPr>
      <w:keepLines/>
      <w:spacing w:before="0" w:after="360"/>
      <w:jc w:val="center"/>
    </w:pPr>
    <w:rPr>
      <w:rFonts w:asciiTheme="minorHAnsi" w:hAnsiTheme="minorHAnsi"/>
      <w:b/>
      <w:szCs w:val="28"/>
    </w:rPr>
  </w:style>
  <w:style w:type="character" w:customStyle="1" w:styleId="000">
    <w:name w:val="00_Подписи к рисункам Знак"/>
    <w:basedOn w:val="a0"/>
    <w:link w:val="00"/>
    <w:rsid w:val="0099387A"/>
    <w:rPr>
      <w:b/>
      <w:sz w:val="24"/>
      <w:szCs w:val="28"/>
    </w:rPr>
  </w:style>
  <w:style w:type="paragraph" w:customStyle="1" w:styleId="001">
    <w:name w:val="00_Рисунки"/>
    <w:basedOn w:val="a"/>
    <w:link w:val="002"/>
    <w:autoRedefine/>
    <w:qFormat/>
    <w:rsid w:val="00B03221"/>
    <w:pPr>
      <w:keepNext/>
      <w:keepLines/>
      <w:spacing w:after="120" w:line="288" w:lineRule="auto"/>
      <w:jc w:val="center"/>
    </w:pPr>
    <w:rPr>
      <w:b/>
      <w:sz w:val="26"/>
      <w:szCs w:val="26"/>
    </w:rPr>
  </w:style>
  <w:style w:type="character" w:customStyle="1" w:styleId="002">
    <w:name w:val="00_Рисунки Знак"/>
    <w:basedOn w:val="a0"/>
    <w:link w:val="001"/>
    <w:rsid w:val="00B03221"/>
    <w:rPr>
      <w:rFonts w:ascii="Times New Roman" w:hAnsi="Times New Roman"/>
      <w:b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AA2021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C84B41"/>
    <w:pPr>
      <w:tabs>
        <w:tab w:val="right" w:leader="dot" w:pos="9628"/>
      </w:tabs>
      <w:spacing w:before="360" w:after="0"/>
    </w:pPr>
  </w:style>
  <w:style w:type="paragraph" w:styleId="21">
    <w:name w:val="toc 2"/>
    <w:basedOn w:val="a"/>
    <w:next w:val="a"/>
    <w:autoRedefine/>
    <w:uiPriority w:val="39"/>
    <w:unhideWhenUsed/>
    <w:rsid w:val="00E447A2"/>
    <w:pPr>
      <w:spacing w:after="100"/>
      <w:ind w:left="240"/>
    </w:pPr>
  </w:style>
  <w:style w:type="character" w:styleId="ad">
    <w:name w:val="Hyperlink"/>
    <w:basedOn w:val="a0"/>
    <w:uiPriority w:val="99"/>
    <w:unhideWhenUsed/>
    <w:rsid w:val="00E447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B4"/>
    <w:pPr>
      <w:spacing w:before="12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aliases w:val="01_Заголовок 1"/>
    <w:basedOn w:val="a"/>
    <w:next w:val="a"/>
    <w:link w:val="10"/>
    <w:uiPriority w:val="9"/>
    <w:qFormat/>
    <w:rsid w:val="00AA2021"/>
    <w:pPr>
      <w:keepNext/>
      <w:keepLines/>
      <w:spacing w:before="240" w:after="0" w:line="276" w:lineRule="auto"/>
      <w:jc w:val="left"/>
      <w:outlineLvl w:val="0"/>
    </w:pPr>
    <w:rPr>
      <w:rFonts w:asciiTheme="majorHAnsi" w:eastAsia="Times New Roman" w:hAnsiTheme="majorHAnsi" w:cstheme="majorBidi"/>
      <w:b/>
      <w:cap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A20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677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775"/>
    <w:rPr>
      <w:rFonts w:ascii="Segoe UI" w:hAnsi="Segoe UI" w:cs="Segoe UI"/>
      <w:sz w:val="18"/>
      <w:szCs w:val="18"/>
    </w:rPr>
  </w:style>
  <w:style w:type="paragraph" w:customStyle="1" w:styleId="3">
    <w:name w:val="Знак3 Знак Знак Знак Знак Знак Знак Знак Знак Знак"/>
    <w:basedOn w:val="a"/>
    <w:rsid w:val="008B6186"/>
    <w:pPr>
      <w:tabs>
        <w:tab w:val="left" w:pos="0"/>
      </w:tabs>
      <w:spacing w:before="0" w:line="240" w:lineRule="exact"/>
      <w:ind w:right="57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rmal (Web)"/>
    <w:basedOn w:val="a"/>
    <w:uiPriority w:val="99"/>
    <w:semiHidden/>
    <w:unhideWhenUsed/>
    <w:rsid w:val="00E442A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aliases w:val="01_Заголовок 1 Знак"/>
    <w:basedOn w:val="a0"/>
    <w:link w:val="1"/>
    <w:uiPriority w:val="9"/>
    <w:rsid w:val="00AA2021"/>
    <w:rPr>
      <w:rFonts w:asciiTheme="majorHAnsi" w:eastAsia="Times New Roman" w:hAnsiTheme="majorHAnsi" w:cstheme="majorBidi"/>
      <w:b/>
      <w:caps/>
      <w:color w:val="2E74B5" w:themeColor="accent1" w:themeShade="BF"/>
      <w:sz w:val="28"/>
      <w:szCs w:val="28"/>
      <w:lang w:eastAsia="ru-RU"/>
    </w:rPr>
  </w:style>
  <w:style w:type="paragraph" w:styleId="a7">
    <w:name w:val="Body Text"/>
    <w:basedOn w:val="a"/>
    <w:link w:val="a8"/>
    <w:rsid w:val="004C01A5"/>
    <w:pPr>
      <w:spacing w:before="0" w:after="0"/>
    </w:pPr>
    <w:rPr>
      <w:rFonts w:eastAsia="Times New Roman" w:cs="Times New Roman"/>
      <w:sz w:val="26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C01A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C648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FC6484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C6484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FC6484"/>
    <w:rPr>
      <w:rFonts w:ascii="Times New Roman" w:hAnsi="Times New Roman"/>
      <w:sz w:val="24"/>
    </w:rPr>
  </w:style>
  <w:style w:type="paragraph" w:customStyle="1" w:styleId="00">
    <w:name w:val="00_Подписи к рисункам"/>
    <w:basedOn w:val="a"/>
    <w:link w:val="000"/>
    <w:autoRedefine/>
    <w:qFormat/>
    <w:rsid w:val="0099387A"/>
    <w:pPr>
      <w:keepLines/>
      <w:spacing w:before="0" w:after="360"/>
      <w:jc w:val="center"/>
    </w:pPr>
    <w:rPr>
      <w:rFonts w:asciiTheme="minorHAnsi" w:hAnsiTheme="minorHAnsi"/>
      <w:b/>
      <w:szCs w:val="28"/>
    </w:rPr>
  </w:style>
  <w:style w:type="character" w:customStyle="1" w:styleId="000">
    <w:name w:val="00_Подписи к рисункам Знак"/>
    <w:basedOn w:val="a0"/>
    <w:link w:val="00"/>
    <w:rsid w:val="0099387A"/>
    <w:rPr>
      <w:b/>
      <w:sz w:val="24"/>
      <w:szCs w:val="28"/>
    </w:rPr>
  </w:style>
  <w:style w:type="paragraph" w:customStyle="1" w:styleId="001">
    <w:name w:val="00_Рисунки"/>
    <w:basedOn w:val="a"/>
    <w:link w:val="002"/>
    <w:autoRedefine/>
    <w:qFormat/>
    <w:rsid w:val="00B03221"/>
    <w:pPr>
      <w:keepNext/>
      <w:keepLines/>
      <w:spacing w:after="120" w:line="288" w:lineRule="auto"/>
      <w:jc w:val="center"/>
    </w:pPr>
    <w:rPr>
      <w:b/>
      <w:sz w:val="26"/>
      <w:szCs w:val="26"/>
    </w:rPr>
  </w:style>
  <w:style w:type="character" w:customStyle="1" w:styleId="002">
    <w:name w:val="00_Рисунки Знак"/>
    <w:basedOn w:val="a0"/>
    <w:link w:val="001"/>
    <w:rsid w:val="00B03221"/>
    <w:rPr>
      <w:rFonts w:ascii="Times New Roman" w:hAnsi="Times New Roman"/>
      <w:b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AA2021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C84B41"/>
    <w:pPr>
      <w:tabs>
        <w:tab w:val="right" w:leader="dot" w:pos="9628"/>
      </w:tabs>
      <w:spacing w:before="360" w:after="0"/>
    </w:pPr>
  </w:style>
  <w:style w:type="paragraph" w:styleId="21">
    <w:name w:val="toc 2"/>
    <w:basedOn w:val="a"/>
    <w:next w:val="a"/>
    <w:autoRedefine/>
    <w:uiPriority w:val="39"/>
    <w:unhideWhenUsed/>
    <w:rsid w:val="00E447A2"/>
    <w:pPr>
      <w:spacing w:after="100"/>
      <w:ind w:left="240"/>
    </w:pPr>
  </w:style>
  <w:style w:type="character" w:styleId="ad">
    <w:name w:val="Hyperlink"/>
    <w:basedOn w:val="a0"/>
    <w:uiPriority w:val="99"/>
    <w:unhideWhenUsed/>
    <w:rsid w:val="00E447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4916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4695">
                      <w:marLeft w:val="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2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5242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632AD-C77E-49DB-804D-5726A55A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FGUP VSEGEI</Company>
  <LinksUpToDate>false</LinksUpToDate>
  <CharactersWithSpaces>12557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Евгений Аркадьевич</dc:creator>
  <cp:lastModifiedBy>Валуйскова Елена Васильевна</cp:lastModifiedBy>
  <cp:revision>8</cp:revision>
  <cp:lastPrinted>2017-10-31T11:27:00Z</cp:lastPrinted>
  <dcterms:created xsi:type="dcterms:W3CDTF">2017-10-31T07:46:00Z</dcterms:created>
  <dcterms:modified xsi:type="dcterms:W3CDTF">2017-10-31T11:56:00Z</dcterms:modified>
</cp:coreProperties>
</file>